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8265C" w14:textId="2E46F012" w:rsidR="004B188D" w:rsidRPr="00735EC1" w:rsidRDefault="6095A422" w:rsidP="6095A422">
      <w:pPr>
        <w:spacing w:after="120" w:line="276" w:lineRule="auto"/>
        <w:jc w:val="center"/>
        <w:rPr>
          <w:rFonts w:ascii="Calibri" w:eastAsia="Calibri" w:hAnsi="Calibri" w:cs="Calibri"/>
          <w:color w:val="1F3864" w:themeColor="accent1" w:themeShade="80"/>
        </w:rPr>
      </w:pPr>
      <w:r w:rsidRPr="00735EC1">
        <w:rPr>
          <w:noProof/>
          <w:color w:val="1F3864" w:themeColor="accent1" w:themeShade="80"/>
          <w:lang w:val="en-IE" w:eastAsia="en-IE"/>
        </w:rPr>
        <w:drawing>
          <wp:inline distT="0" distB="0" distL="0" distR="0" wp14:anchorId="03963114" wp14:editId="75872695">
            <wp:extent cx="723900" cy="666750"/>
            <wp:effectExtent l="0" t="0" r="0" b="0"/>
            <wp:docPr id="1130615429" name="Picture 1130615429" descr="X:\VITA COMMUNICATIONS\2) MULTIMEDIA\1) LOGOS &amp; BRANDING\Brand Guidelines and Review 2016\logo rtweak 2016 all files\NEW_2016_Vita Logo Files\NEW_2016_Vita Logo Files\Vita_logo_2016_Digital\Jpgs\Vita_logo_2016_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900" cy="666750"/>
                    </a:xfrm>
                    <a:prstGeom prst="rect">
                      <a:avLst/>
                    </a:prstGeom>
                  </pic:spPr>
                </pic:pic>
              </a:graphicData>
            </a:graphic>
          </wp:inline>
        </w:drawing>
      </w:r>
    </w:p>
    <w:p w14:paraId="5FE976AB" w14:textId="6DD2E39F" w:rsidR="004B188D" w:rsidRDefault="6095A422" w:rsidP="6095A422">
      <w:pPr>
        <w:spacing w:after="120" w:line="276" w:lineRule="auto"/>
        <w:jc w:val="center"/>
        <w:rPr>
          <w:rFonts w:ascii="Calibri" w:eastAsia="Calibri" w:hAnsi="Calibri" w:cs="Calibri"/>
          <w:color w:val="1F3864" w:themeColor="accent1" w:themeShade="80"/>
          <w:sz w:val="28"/>
          <w:szCs w:val="28"/>
          <w:lang w:val="en-GB"/>
        </w:rPr>
      </w:pPr>
      <w:r w:rsidRPr="00735EC1">
        <w:rPr>
          <w:rFonts w:ascii="Calibri" w:eastAsia="Calibri" w:hAnsi="Calibri" w:cs="Calibri"/>
          <w:color w:val="1F3864" w:themeColor="accent1" w:themeShade="80"/>
          <w:sz w:val="28"/>
          <w:szCs w:val="28"/>
          <w:lang w:val="en-GB"/>
        </w:rPr>
        <w:t>Final Report to the Staff of HSE (Cork and Kerry) Association for the Relief of Poverty (SHARP HSE)</w:t>
      </w:r>
    </w:p>
    <w:p w14:paraId="4E73310A" w14:textId="07113FE7" w:rsidR="00D92C69" w:rsidRPr="00735EC1" w:rsidRDefault="00D92C69" w:rsidP="6095A422">
      <w:pPr>
        <w:spacing w:after="120" w:line="276" w:lineRule="auto"/>
        <w:jc w:val="center"/>
        <w:rPr>
          <w:rFonts w:ascii="Calibri" w:eastAsia="Calibri" w:hAnsi="Calibri" w:cs="Calibri"/>
          <w:color w:val="1F3864" w:themeColor="accent1" w:themeShade="80"/>
          <w:sz w:val="28"/>
          <w:szCs w:val="28"/>
        </w:rPr>
      </w:pPr>
      <w:r>
        <w:rPr>
          <w:rFonts w:ascii="Calibri" w:eastAsia="Calibri" w:hAnsi="Calibri" w:cs="Calibri"/>
          <w:noProof/>
          <w:color w:val="4472C4" w:themeColor="accent1"/>
          <w:sz w:val="28"/>
          <w:szCs w:val="28"/>
          <w:lang w:val="en-IE" w:eastAsia="en-IE"/>
        </w:rPr>
        <w:drawing>
          <wp:inline distT="0" distB="0" distL="0" distR="0" wp14:anchorId="3BCD464D" wp14:editId="0391F08F">
            <wp:extent cx="4962525" cy="37218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GIF-04-0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67087" cy="3725315"/>
                    </a:xfrm>
                    <a:prstGeom prst="rect">
                      <a:avLst/>
                    </a:prstGeom>
                  </pic:spPr>
                </pic:pic>
              </a:graphicData>
            </a:graphic>
          </wp:inline>
        </w:drawing>
      </w:r>
    </w:p>
    <w:p w14:paraId="0727B750" w14:textId="35A7F034" w:rsidR="00D92C69" w:rsidRPr="00735EC1" w:rsidRDefault="00DA1FB2" w:rsidP="00DA1FB2">
      <w:pPr>
        <w:spacing w:after="120" w:line="276" w:lineRule="auto"/>
        <w:ind w:left="142"/>
        <w:jc w:val="both"/>
        <w:rPr>
          <w:rFonts w:ascii="Calibri" w:eastAsia="Calibri" w:hAnsi="Calibri" w:cs="Calibri"/>
          <w:color w:val="1F3864" w:themeColor="accent1" w:themeShade="80"/>
          <w:lang w:val="en-GB"/>
        </w:rPr>
      </w:pPr>
      <w:r>
        <w:rPr>
          <w:rFonts w:ascii="Calibri" w:eastAsia="Calibri" w:hAnsi="Calibri" w:cs="Calibri"/>
          <w:color w:val="1F3864" w:themeColor="accent1" w:themeShade="80"/>
          <w:lang w:val="en-GB"/>
        </w:rPr>
        <w:t>Community members collecting clean water from their village water pump, which was recently maintained with support from SHARP HSE</w:t>
      </w:r>
    </w:p>
    <w:tbl>
      <w:tblPr>
        <w:tblW w:w="0" w:type="auto"/>
        <w:tblLayout w:type="fixed"/>
        <w:tblLook w:val="04A0" w:firstRow="1" w:lastRow="0" w:firstColumn="1" w:lastColumn="0" w:noHBand="0" w:noVBand="1"/>
      </w:tblPr>
      <w:tblGrid>
        <w:gridCol w:w="2119"/>
        <w:gridCol w:w="6896"/>
      </w:tblGrid>
      <w:tr w:rsidR="00735EC1" w:rsidRPr="00735EC1" w14:paraId="6B2E7E87" w14:textId="77777777" w:rsidTr="00DA1FB2">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FAFB"/>
          </w:tcPr>
          <w:p w14:paraId="155A6E11" w14:textId="1F645C7C" w:rsidR="6095A422"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b/>
                <w:bCs/>
                <w:color w:val="1F3864" w:themeColor="accent1" w:themeShade="80"/>
                <w:lang w:val="en-GB"/>
              </w:rPr>
              <w:t>Organisation</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FAFB"/>
          </w:tcPr>
          <w:p w14:paraId="4FBA2A24" w14:textId="41D50091" w:rsidR="6095A422"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color w:val="1F3864" w:themeColor="accent1" w:themeShade="80"/>
                <w:lang w:val="en-GB"/>
              </w:rPr>
              <w:t>Vita</w:t>
            </w:r>
          </w:p>
        </w:tc>
      </w:tr>
      <w:tr w:rsidR="00735EC1" w:rsidRPr="00735EC1" w14:paraId="604ABA5C" w14:textId="77777777" w:rsidTr="00DA1FB2">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FAFB"/>
          </w:tcPr>
          <w:p w14:paraId="5B3B7105" w14:textId="000FB710" w:rsidR="6095A422"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b/>
                <w:bCs/>
                <w:color w:val="1F3864" w:themeColor="accent1" w:themeShade="80"/>
                <w:lang w:val="en-GB"/>
              </w:rPr>
              <w:t>Project title</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FAFB"/>
          </w:tcPr>
          <w:p w14:paraId="12A63920" w14:textId="2E66A5D4" w:rsidR="6095A422"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color w:val="1F3864" w:themeColor="accent1" w:themeShade="80"/>
                <w:lang w:val="en-GB"/>
              </w:rPr>
              <w:t xml:space="preserve">Sustainable water maintenance and community hygiene for disease prevention in South Gonder, Ethiopia  </w:t>
            </w:r>
          </w:p>
        </w:tc>
      </w:tr>
      <w:tr w:rsidR="00735EC1" w:rsidRPr="00735EC1" w14:paraId="5BA5A8A1" w14:textId="77777777" w:rsidTr="00DA1FB2">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FAFB"/>
          </w:tcPr>
          <w:p w14:paraId="68BFADF3" w14:textId="4CA4A0B2" w:rsidR="6095A422"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b/>
                <w:bCs/>
                <w:color w:val="1F3864" w:themeColor="accent1" w:themeShade="80"/>
                <w:lang w:val="en-GB"/>
              </w:rPr>
              <w:t>Country</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FAFB"/>
          </w:tcPr>
          <w:p w14:paraId="0C125BDF" w14:textId="68133D34" w:rsidR="6095A422"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color w:val="1F3864" w:themeColor="accent1" w:themeShade="80"/>
                <w:lang w:val="en-GB"/>
              </w:rPr>
              <w:t>Ethiopia</w:t>
            </w:r>
          </w:p>
        </w:tc>
      </w:tr>
      <w:tr w:rsidR="00735EC1" w:rsidRPr="00735EC1" w14:paraId="71D47E94" w14:textId="77777777" w:rsidTr="00DA1FB2">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FAFB"/>
          </w:tcPr>
          <w:p w14:paraId="0637F1D9" w14:textId="311F02B0" w:rsidR="6095A422"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b/>
                <w:bCs/>
                <w:color w:val="1F3864" w:themeColor="accent1" w:themeShade="80"/>
                <w:lang w:val="en-GB"/>
              </w:rPr>
              <w:t xml:space="preserve">Amount received </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FAFB"/>
          </w:tcPr>
          <w:p w14:paraId="7F3E4AB0" w14:textId="28BC3749" w:rsidR="6095A422"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color w:val="1F3864" w:themeColor="accent1" w:themeShade="80"/>
                <w:lang w:val="en-GB"/>
              </w:rPr>
              <w:t>€7,021</w:t>
            </w:r>
          </w:p>
        </w:tc>
      </w:tr>
      <w:tr w:rsidR="00735EC1" w:rsidRPr="00735EC1" w14:paraId="4B9510C4" w14:textId="77777777" w:rsidTr="00DA1FB2">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FAFB"/>
          </w:tcPr>
          <w:p w14:paraId="0DD0FED6" w14:textId="10EA712E" w:rsidR="6095A422"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b/>
                <w:bCs/>
                <w:color w:val="1F3864" w:themeColor="accent1" w:themeShade="80"/>
                <w:lang w:val="en-GB"/>
              </w:rPr>
              <w:t xml:space="preserve">Address                          </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FAFB"/>
          </w:tcPr>
          <w:p w14:paraId="0212167D" w14:textId="2866A513" w:rsidR="6095A422"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color w:val="1F3864" w:themeColor="accent1" w:themeShade="80"/>
                <w:lang w:val="en-GB"/>
              </w:rPr>
              <w:t>Equity House, 16-17 Upper Ormond Quay, Dublin 7</w:t>
            </w:r>
          </w:p>
        </w:tc>
      </w:tr>
      <w:tr w:rsidR="00735EC1" w:rsidRPr="00735EC1" w14:paraId="2A574342" w14:textId="77777777" w:rsidTr="00DA1FB2">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FAFB"/>
          </w:tcPr>
          <w:p w14:paraId="73F375BB" w14:textId="0C66FA2F" w:rsidR="6095A422"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b/>
                <w:bCs/>
                <w:color w:val="1F3864" w:themeColor="accent1" w:themeShade="80"/>
                <w:lang w:val="en-GB"/>
              </w:rPr>
              <w:t>Phone</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FAFB"/>
          </w:tcPr>
          <w:p w14:paraId="58B98CC1" w14:textId="7E656C6C" w:rsidR="6095A422"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color w:val="1F3864" w:themeColor="accent1" w:themeShade="80"/>
                <w:lang w:val="en-GB"/>
              </w:rPr>
              <w:t>(01) 873 4303</w:t>
            </w:r>
          </w:p>
        </w:tc>
      </w:tr>
      <w:tr w:rsidR="00735EC1" w:rsidRPr="00735EC1" w14:paraId="224C81F3" w14:textId="77777777" w:rsidTr="00DA1FB2">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FAFB"/>
          </w:tcPr>
          <w:p w14:paraId="30D159A6" w14:textId="6C6AF868" w:rsidR="6095A422"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b/>
                <w:bCs/>
                <w:color w:val="1F3864" w:themeColor="accent1" w:themeShade="80"/>
                <w:lang w:val="en-GB"/>
              </w:rPr>
              <w:t>Contact person</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FAFB"/>
          </w:tcPr>
          <w:p w14:paraId="5BE3180D" w14:textId="35CAA3BB" w:rsidR="6095A422"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color w:val="1F3864" w:themeColor="accent1" w:themeShade="80"/>
                <w:lang w:val="en-GB"/>
              </w:rPr>
              <w:t>Ciara Feehely</w:t>
            </w:r>
          </w:p>
        </w:tc>
      </w:tr>
      <w:tr w:rsidR="00735EC1" w:rsidRPr="00735EC1" w14:paraId="23D23A58" w14:textId="77777777" w:rsidTr="00DA1FB2">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FAFB"/>
          </w:tcPr>
          <w:p w14:paraId="1CA4E35E" w14:textId="06B6C539" w:rsidR="6095A422" w:rsidRPr="00735EC1" w:rsidRDefault="6095A422" w:rsidP="00DA1FB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b/>
                <w:bCs/>
                <w:color w:val="1F3864" w:themeColor="accent1" w:themeShade="80"/>
                <w:lang w:val="en-GB"/>
              </w:rPr>
              <w:t>Report date</w:t>
            </w:r>
          </w:p>
        </w:tc>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FAFB"/>
          </w:tcPr>
          <w:p w14:paraId="2F52F7CD" w14:textId="635F61BC" w:rsidR="6095A422" w:rsidRPr="00735EC1" w:rsidRDefault="00A67965" w:rsidP="6095A422">
            <w:pPr>
              <w:spacing w:after="120" w:line="276" w:lineRule="auto"/>
              <w:jc w:val="both"/>
              <w:rPr>
                <w:rFonts w:ascii="Calibri" w:eastAsia="Calibri" w:hAnsi="Calibri" w:cs="Calibri"/>
                <w:color w:val="1F3864" w:themeColor="accent1" w:themeShade="80"/>
              </w:rPr>
            </w:pPr>
            <w:r>
              <w:rPr>
                <w:rFonts w:ascii="Calibri" w:eastAsia="Calibri" w:hAnsi="Calibri" w:cs="Calibri"/>
                <w:color w:val="1F3864" w:themeColor="accent1" w:themeShade="80"/>
                <w:lang w:val="en-GB"/>
              </w:rPr>
              <w:t>16</w:t>
            </w:r>
            <w:r w:rsidR="6095A422" w:rsidRPr="00735EC1">
              <w:rPr>
                <w:rFonts w:ascii="Calibri" w:eastAsia="Calibri" w:hAnsi="Calibri" w:cs="Calibri"/>
                <w:color w:val="1F3864" w:themeColor="accent1" w:themeShade="80"/>
                <w:lang w:val="en-GB"/>
              </w:rPr>
              <w:t xml:space="preserve"> March 2022</w:t>
            </w:r>
          </w:p>
        </w:tc>
      </w:tr>
    </w:tbl>
    <w:p w14:paraId="5A74ED58" w14:textId="77777777" w:rsidR="00C668FF" w:rsidRDefault="00C668FF" w:rsidP="6095A422">
      <w:pPr>
        <w:spacing w:after="120" w:line="276" w:lineRule="auto"/>
        <w:jc w:val="both"/>
        <w:rPr>
          <w:rFonts w:ascii="Calibri" w:eastAsia="Calibri" w:hAnsi="Calibri" w:cs="Calibri"/>
          <w:b/>
          <w:bCs/>
          <w:color w:val="1F3864" w:themeColor="accent1" w:themeShade="80"/>
          <w:sz w:val="24"/>
          <w:szCs w:val="24"/>
          <w:lang w:val="en-GB"/>
        </w:rPr>
      </w:pPr>
    </w:p>
    <w:tbl>
      <w:tblPr>
        <w:tblW w:w="0" w:type="auto"/>
        <w:tblLayout w:type="fixed"/>
        <w:tblLook w:val="04A0" w:firstRow="1" w:lastRow="0" w:firstColumn="1" w:lastColumn="0" w:noHBand="0" w:noVBand="1"/>
      </w:tblPr>
      <w:tblGrid>
        <w:gridCol w:w="6896"/>
      </w:tblGrid>
      <w:tr w:rsidR="00C668FF" w:rsidRPr="00735EC1" w14:paraId="41761F85" w14:textId="77777777" w:rsidTr="00C668FF">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4C49ACC7" w14:textId="105FADF2" w:rsidR="00C668FF" w:rsidRPr="00C668FF" w:rsidRDefault="00C668FF" w:rsidP="00C668FF">
            <w:pPr>
              <w:spacing w:after="120" w:line="276" w:lineRule="auto"/>
              <w:jc w:val="both"/>
              <w:rPr>
                <w:rFonts w:ascii="Calibri" w:eastAsia="Calibri" w:hAnsi="Calibri" w:cs="Calibri"/>
                <w:b/>
                <w:color w:val="1F3864" w:themeColor="accent1" w:themeShade="80"/>
              </w:rPr>
            </w:pPr>
            <w:r w:rsidRPr="00C668FF">
              <w:rPr>
                <w:rFonts w:ascii="Calibri" w:eastAsia="Calibri" w:hAnsi="Calibri" w:cs="Calibri"/>
                <w:b/>
                <w:color w:val="FFFFFF" w:themeColor="background1"/>
              </w:rPr>
              <w:t xml:space="preserve">Impact  </w:t>
            </w:r>
          </w:p>
        </w:tc>
      </w:tr>
      <w:tr w:rsidR="00C668FF" w:rsidRPr="00735EC1" w14:paraId="03730EE4" w14:textId="77777777" w:rsidTr="00C668FF">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7D676AA4" w14:textId="77777777" w:rsidR="00C668FF" w:rsidRDefault="00C668FF" w:rsidP="003B2CAE">
            <w:pPr>
              <w:spacing w:after="120" w:line="276" w:lineRule="auto"/>
              <w:jc w:val="both"/>
              <w:rPr>
                <w:rFonts w:eastAsia="Arial" w:cstheme="minorHAnsi"/>
                <w:b/>
                <w:color w:val="1F3864" w:themeColor="accent1" w:themeShade="80"/>
              </w:rPr>
            </w:pPr>
          </w:p>
        </w:tc>
      </w:tr>
      <w:tr w:rsidR="00C668FF" w:rsidRPr="00735EC1" w14:paraId="5C058974" w14:textId="77777777" w:rsidTr="003B2CAE">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FAFB"/>
          </w:tcPr>
          <w:p w14:paraId="0C6A1071" w14:textId="5FC43B39" w:rsidR="00C668FF" w:rsidRPr="00735EC1" w:rsidRDefault="00C668FF" w:rsidP="003B2CAE">
            <w:pPr>
              <w:spacing w:after="120" w:line="276" w:lineRule="auto"/>
              <w:jc w:val="both"/>
              <w:rPr>
                <w:rFonts w:ascii="Calibri" w:eastAsia="Calibri" w:hAnsi="Calibri" w:cs="Calibri"/>
                <w:color w:val="1F3864" w:themeColor="accent1" w:themeShade="80"/>
              </w:rPr>
            </w:pPr>
            <w:r>
              <w:rPr>
                <w:rFonts w:eastAsia="Arial" w:cstheme="minorHAnsi"/>
                <w:b/>
                <w:color w:val="1F3864" w:themeColor="accent1" w:themeShade="80"/>
              </w:rPr>
              <w:t xml:space="preserve">3,500 people with access to clean water </w:t>
            </w:r>
            <w:r w:rsidRPr="00A60900">
              <w:rPr>
                <w:rFonts w:eastAsia="Arial" w:cstheme="minorHAnsi"/>
                <w:b/>
                <w:color w:val="1F3864" w:themeColor="accent1" w:themeShade="80"/>
              </w:rPr>
              <w:t>:</w:t>
            </w:r>
          </w:p>
        </w:tc>
      </w:tr>
      <w:tr w:rsidR="00C668FF" w:rsidRPr="00735EC1" w14:paraId="0E3ECE49" w14:textId="77777777" w:rsidTr="003B2CAE">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FAFB"/>
          </w:tcPr>
          <w:p w14:paraId="018CB66B" w14:textId="53756655" w:rsidR="00C668FF" w:rsidRPr="00735EC1" w:rsidRDefault="00C668FF" w:rsidP="00C668FF">
            <w:pPr>
              <w:spacing w:after="120" w:line="276" w:lineRule="auto"/>
              <w:jc w:val="both"/>
              <w:rPr>
                <w:rFonts w:ascii="Calibri" w:eastAsia="Calibri" w:hAnsi="Calibri" w:cs="Calibri"/>
                <w:color w:val="1F3864" w:themeColor="accent1" w:themeShade="80"/>
              </w:rPr>
            </w:pPr>
            <w:r w:rsidRPr="00A60900">
              <w:rPr>
                <w:rFonts w:eastAsia="Arial" w:cstheme="minorHAnsi"/>
                <w:b/>
                <w:color w:val="1F3864" w:themeColor="accent1" w:themeShade="80"/>
              </w:rPr>
              <w:t xml:space="preserve">100% </w:t>
            </w:r>
            <w:r>
              <w:rPr>
                <w:rFonts w:eastAsia="Arial" w:cstheme="minorHAnsi"/>
                <w:b/>
                <w:color w:val="1F3864" w:themeColor="accent1" w:themeShade="80"/>
              </w:rPr>
              <w:t xml:space="preserve">of </w:t>
            </w:r>
            <w:r w:rsidRPr="00A60900">
              <w:rPr>
                <w:rFonts w:eastAsia="Arial" w:cstheme="minorHAnsi"/>
                <w:b/>
                <w:color w:val="1F3864" w:themeColor="accent1" w:themeShade="80"/>
              </w:rPr>
              <w:t xml:space="preserve">households </w:t>
            </w:r>
            <w:r>
              <w:rPr>
                <w:rFonts w:eastAsia="Arial" w:cstheme="minorHAnsi"/>
                <w:b/>
                <w:color w:val="1F3864" w:themeColor="accent1" w:themeShade="80"/>
              </w:rPr>
              <w:t>covered</w:t>
            </w:r>
          </w:p>
        </w:tc>
      </w:tr>
      <w:tr w:rsidR="00C668FF" w:rsidRPr="00735EC1" w14:paraId="4A12D2D7" w14:textId="77777777" w:rsidTr="003B2CAE">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FAFB"/>
          </w:tcPr>
          <w:p w14:paraId="378024DC" w14:textId="43F0A0DD" w:rsidR="00C668FF" w:rsidRPr="00735EC1" w:rsidRDefault="00C668FF" w:rsidP="003B2CAE">
            <w:pPr>
              <w:spacing w:after="120" w:line="276" w:lineRule="auto"/>
              <w:jc w:val="both"/>
              <w:rPr>
                <w:rFonts w:ascii="Calibri" w:eastAsia="Calibri" w:hAnsi="Calibri" w:cs="Calibri"/>
                <w:color w:val="1F3864" w:themeColor="accent1" w:themeShade="80"/>
              </w:rPr>
            </w:pPr>
            <w:r w:rsidRPr="00735EC1">
              <w:rPr>
                <w:b/>
                <w:color w:val="1F3864" w:themeColor="accent1" w:themeShade="80"/>
              </w:rPr>
              <w:t>Improved household hygiene</w:t>
            </w:r>
          </w:p>
        </w:tc>
      </w:tr>
      <w:tr w:rsidR="00C668FF" w:rsidRPr="00735EC1" w14:paraId="46232A28" w14:textId="77777777" w:rsidTr="003B2CAE">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FAFB"/>
          </w:tcPr>
          <w:p w14:paraId="6956E885" w14:textId="3AA4BE8A" w:rsidR="00C668FF" w:rsidRPr="00735EC1" w:rsidRDefault="00C668FF" w:rsidP="003B2CAE">
            <w:pPr>
              <w:spacing w:after="120" w:line="276" w:lineRule="auto"/>
              <w:jc w:val="both"/>
              <w:rPr>
                <w:rFonts w:ascii="Calibri" w:eastAsia="Calibri" w:hAnsi="Calibri" w:cs="Calibri"/>
                <w:color w:val="1F3864" w:themeColor="accent1" w:themeShade="80"/>
              </w:rPr>
            </w:pPr>
            <w:r w:rsidRPr="00F44762">
              <w:rPr>
                <w:rFonts w:cstheme="minorHAnsi"/>
                <w:b/>
                <w:color w:val="1F3864" w:themeColor="accent1" w:themeShade="80"/>
              </w:rPr>
              <w:t>Reduced time-burden on women and girls</w:t>
            </w:r>
          </w:p>
        </w:tc>
      </w:tr>
      <w:tr w:rsidR="00C668FF" w:rsidRPr="00735EC1" w14:paraId="42E482BE" w14:textId="77777777" w:rsidTr="003B2CAE">
        <w:tc>
          <w:tcPr>
            <w:tcW w:w="68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9FAFB"/>
          </w:tcPr>
          <w:p w14:paraId="19934C58" w14:textId="3E4D3F62" w:rsidR="00C668FF" w:rsidRPr="00735EC1" w:rsidRDefault="00C668FF" w:rsidP="003B2CAE">
            <w:pPr>
              <w:spacing w:after="120" w:line="276" w:lineRule="auto"/>
              <w:jc w:val="both"/>
              <w:rPr>
                <w:rFonts w:ascii="Calibri" w:eastAsia="Calibri" w:hAnsi="Calibri" w:cs="Calibri"/>
                <w:color w:val="1F3864" w:themeColor="accent1" w:themeShade="80"/>
              </w:rPr>
            </w:pPr>
            <w:r w:rsidRPr="00F44762">
              <w:rPr>
                <w:b/>
                <w:color w:val="1F3864" w:themeColor="accent1" w:themeShade="80"/>
              </w:rPr>
              <w:t>Carbon emissions reduced and natural environment protected</w:t>
            </w:r>
          </w:p>
        </w:tc>
      </w:tr>
    </w:tbl>
    <w:p w14:paraId="719F31B9" w14:textId="77777777" w:rsidR="00C668FF" w:rsidRDefault="00C668FF" w:rsidP="6095A422">
      <w:pPr>
        <w:spacing w:after="120" w:line="276" w:lineRule="auto"/>
        <w:jc w:val="both"/>
        <w:rPr>
          <w:rFonts w:ascii="Calibri" w:eastAsia="Calibri" w:hAnsi="Calibri" w:cs="Calibri"/>
          <w:b/>
          <w:bCs/>
          <w:color w:val="1F3864" w:themeColor="accent1" w:themeShade="80"/>
          <w:sz w:val="24"/>
          <w:szCs w:val="24"/>
          <w:lang w:val="en-GB"/>
        </w:rPr>
      </w:pPr>
    </w:p>
    <w:p w14:paraId="2A2CBBEC" w14:textId="6FDEB1F6" w:rsidR="004B188D" w:rsidRPr="00735EC1" w:rsidRDefault="6095A422" w:rsidP="6095A422">
      <w:pPr>
        <w:spacing w:after="120" w:line="276" w:lineRule="auto"/>
        <w:jc w:val="both"/>
        <w:rPr>
          <w:rFonts w:ascii="Calibri" w:eastAsia="Calibri" w:hAnsi="Calibri" w:cs="Calibri"/>
          <w:color w:val="1F3864" w:themeColor="accent1" w:themeShade="80"/>
          <w:sz w:val="24"/>
          <w:szCs w:val="24"/>
        </w:rPr>
      </w:pPr>
      <w:r w:rsidRPr="00735EC1">
        <w:rPr>
          <w:rFonts w:ascii="Calibri" w:eastAsia="Calibri" w:hAnsi="Calibri" w:cs="Calibri"/>
          <w:b/>
          <w:bCs/>
          <w:color w:val="1F3864" w:themeColor="accent1" w:themeShade="80"/>
          <w:sz w:val="24"/>
          <w:szCs w:val="24"/>
          <w:lang w:val="en-GB"/>
        </w:rPr>
        <w:t>Project Overview</w:t>
      </w:r>
    </w:p>
    <w:p w14:paraId="17EF5623" w14:textId="59E0A101" w:rsidR="004B188D" w:rsidRPr="00735EC1" w:rsidRDefault="6095A422" w:rsidP="0081447C">
      <w:pPr>
        <w:spacing w:after="120" w:line="276" w:lineRule="auto"/>
        <w:ind w:right="76"/>
        <w:jc w:val="both"/>
        <w:rPr>
          <w:rFonts w:ascii="Calibri" w:eastAsia="Calibri" w:hAnsi="Calibri" w:cs="Calibri"/>
          <w:color w:val="1F3864" w:themeColor="accent1" w:themeShade="80"/>
        </w:rPr>
      </w:pPr>
      <w:r w:rsidRPr="00735EC1">
        <w:rPr>
          <w:rFonts w:ascii="Calibri" w:eastAsia="Calibri" w:hAnsi="Calibri" w:cs="Calibri"/>
          <w:color w:val="1F3864" w:themeColor="accent1" w:themeShade="80"/>
          <w:lang w:val="en-GB"/>
        </w:rPr>
        <w:t>The SHARP HSE-supported project delivered</w:t>
      </w:r>
      <w:r w:rsidR="00A46DD0">
        <w:rPr>
          <w:rFonts w:ascii="Calibri" w:eastAsia="Calibri" w:hAnsi="Calibri" w:cs="Calibri"/>
          <w:color w:val="1F3864" w:themeColor="accent1" w:themeShade="80"/>
          <w:lang w:val="en-GB"/>
        </w:rPr>
        <w:t xml:space="preserve"> sustained access to safe water </w:t>
      </w:r>
      <w:r w:rsidRPr="00735EC1">
        <w:rPr>
          <w:rFonts w:ascii="Calibri" w:eastAsia="Calibri" w:hAnsi="Calibri" w:cs="Calibri"/>
          <w:color w:val="1F3864" w:themeColor="accent1" w:themeShade="80"/>
          <w:lang w:val="en-GB"/>
        </w:rPr>
        <w:t xml:space="preserve">to </w:t>
      </w:r>
      <w:r w:rsidR="0081447C" w:rsidRPr="00735EC1">
        <w:rPr>
          <w:rFonts w:ascii="Calibri" w:eastAsia="Calibri" w:hAnsi="Calibri" w:cs="Calibri"/>
          <w:color w:val="1F3864" w:themeColor="accent1" w:themeShade="80"/>
          <w:lang w:val="en-GB"/>
        </w:rPr>
        <w:t xml:space="preserve">3,500 </w:t>
      </w:r>
      <w:r w:rsidR="00A46DD0">
        <w:rPr>
          <w:rFonts w:ascii="Calibri" w:eastAsia="Calibri" w:hAnsi="Calibri" w:cs="Calibri"/>
          <w:color w:val="1F3864" w:themeColor="accent1" w:themeShade="80"/>
          <w:lang w:val="en-GB"/>
        </w:rPr>
        <w:t xml:space="preserve">people </w:t>
      </w:r>
      <w:r w:rsidR="0081447C" w:rsidRPr="00735EC1">
        <w:rPr>
          <w:rFonts w:ascii="Calibri" w:eastAsia="Calibri" w:hAnsi="Calibri" w:cs="Calibri"/>
          <w:color w:val="1F3864" w:themeColor="accent1" w:themeShade="80"/>
          <w:lang w:val="en-GB"/>
        </w:rPr>
        <w:t>in seven rural villages</w:t>
      </w:r>
      <w:r w:rsidR="00A46DD0">
        <w:rPr>
          <w:rFonts w:ascii="Calibri" w:eastAsia="Calibri" w:hAnsi="Calibri" w:cs="Calibri"/>
          <w:color w:val="1F3864" w:themeColor="accent1" w:themeShade="80"/>
          <w:lang w:val="en-GB"/>
        </w:rPr>
        <w:t xml:space="preserve"> and improved their health outcomes</w:t>
      </w:r>
      <w:r w:rsidRPr="00735EC1">
        <w:rPr>
          <w:rFonts w:ascii="Calibri" w:eastAsia="Calibri" w:hAnsi="Calibri" w:cs="Calibri"/>
          <w:color w:val="1F3864" w:themeColor="accent1" w:themeShade="80"/>
          <w:lang w:val="en-GB"/>
        </w:rPr>
        <w:t>.</w:t>
      </w:r>
      <w:r w:rsidR="00A46DD0">
        <w:rPr>
          <w:rFonts w:ascii="Calibri" w:eastAsia="Calibri" w:hAnsi="Calibri" w:cs="Calibri"/>
          <w:color w:val="1F3864" w:themeColor="accent1" w:themeShade="80"/>
          <w:lang w:val="en-GB"/>
        </w:rPr>
        <w:t xml:space="preserve"> The project used the heightened awareness of the role of hygiene in disease prevention and the widespread motivation to stop COVID-19 transmission to improve community hygiene practices and lower the risk of </w:t>
      </w:r>
      <w:r w:rsidR="00A67965">
        <w:rPr>
          <w:rFonts w:ascii="Calibri" w:eastAsia="Calibri" w:hAnsi="Calibri" w:cs="Calibri"/>
          <w:color w:val="1F3864" w:themeColor="accent1" w:themeShade="80"/>
          <w:lang w:val="en-GB"/>
        </w:rPr>
        <w:t>disease</w:t>
      </w:r>
      <w:r w:rsidR="00A46DD0">
        <w:rPr>
          <w:rFonts w:ascii="Calibri" w:eastAsia="Calibri" w:hAnsi="Calibri" w:cs="Calibri"/>
          <w:color w:val="1F3864" w:themeColor="accent1" w:themeShade="80"/>
          <w:lang w:val="en-GB"/>
        </w:rPr>
        <w:t xml:space="preserve"> and in</w:t>
      </w:r>
      <w:r w:rsidR="00A67965">
        <w:rPr>
          <w:rFonts w:ascii="Calibri" w:eastAsia="Calibri" w:hAnsi="Calibri" w:cs="Calibri"/>
          <w:color w:val="1F3864" w:themeColor="accent1" w:themeShade="80"/>
          <w:lang w:val="en-GB"/>
        </w:rPr>
        <w:t>f</w:t>
      </w:r>
      <w:r w:rsidR="00A46DD0">
        <w:rPr>
          <w:rFonts w:ascii="Calibri" w:eastAsia="Calibri" w:hAnsi="Calibri" w:cs="Calibri"/>
          <w:color w:val="1F3864" w:themeColor="accent1" w:themeShade="80"/>
          <w:lang w:val="en-GB"/>
        </w:rPr>
        <w:t>ection.</w:t>
      </w:r>
    </w:p>
    <w:p w14:paraId="07F59435" w14:textId="198D98EE" w:rsidR="004B188D"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color w:val="1F3864" w:themeColor="accent1" w:themeShade="80"/>
          <w:lang w:val="en-GB"/>
        </w:rPr>
        <w:t>The project was managed by a team of local, experienced staff and led by the Project Coordinator, based in</w:t>
      </w:r>
      <w:r w:rsidR="00A46DD0">
        <w:rPr>
          <w:rFonts w:ascii="Calibri" w:eastAsia="Calibri" w:hAnsi="Calibri" w:cs="Calibri"/>
          <w:color w:val="1F3864" w:themeColor="accent1" w:themeShade="80"/>
          <w:lang w:val="en-GB"/>
        </w:rPr>
        <w:t xml:space="preserve"> Vita’</w:t>
      </w:r>
      <w:r w:rsidR="00A67965">
        <w:rPr>
          <w:rFonts w:ascii="Calibri" w:eastAsia="Calibri" w:hAnsi="Calibri" w:cs="Calibri"/>
          <w:color w:val="1F3864" w:themeColor="accent1" w:themeShade="80"/>
          <w:lang w:val="en-GB"/>
        </w:rPr>
        <w:t>s</w:t>
      </w:r>
      <w:r w:rsidR="00A46DD0">
        <w:rPr>
          <w:rFonts w:ascii="Calibri" w:eastAsia="Calibri" w:hAnsi="Calibri" w:cs="Calibri"/>
          <w:color w:val="1F3864" w:themeColor="accent1" w:themeShade="80"/>
          <w:lang w:val="en-GB"/>
        </w:rPr>
        <w:t xml:space="preserve"> regional office for Bahir Dar town in Amhara Region</w:t>
      </w:r>
      <w:r w:rsidRPr="00735EC1">
        <w:rPr>
          <w:rFonts w:ascii="Calibri" w:eastAsia="Calibri" w:hAnsi="Calibri" w:cs="Calibri"/>
          <w:color w:val="1F3864" w:themeColor="accent1" w:themeShade="80"/>
          <w:lang w:val="en-GB"/>
        </w:rPr>
        <w:t xml:space="preserve">. They were supported by Vita community development field workers in </w:t>
      </w:r>
      <w:r w:rsidR="00A46DD0">
        <w:rPr>
          <w:rFonts w:ascii="Calibri" w:eastAsia="Calibri" w:hAnsi="Calibri" w:cs="Calibri"/>
          <w:color w:val="1F3864" w:themeColor="accent1" w:themeShade="80"/>
          <w:lang w:val="en-GB"/>
        </w:rPr>
        <w:t>South Gonder Zone</w:t>
      </w:r>
      <w:r w:rsidRPr="00735EC1">
        <w:rPr>
          <w:rFonts w:ascii="Calibri" w:eastAsia="Calibri" w:hAnsi="Calibri" w:cs="Calibri"/>
          <w:color w:val="1F3864" w:themeColor="accent1" w:themeShade="80"/>
          <w:lang w:val="en-GB"/>
        </w:rPr>
        <w:t>. All programme quality aspects, particularly the monitoring and evaluation of the project, were and continue to be supported by Vita’s Programme Quality Officer in Dublin. Monitoring visits were built into the programme quality, and local community health workers provided specialist advice to augment our data gathering around health impacts.</w:t>
      </w:r>
    </w:p>
    <w:p w14:paraId="27A784C2" w14:textId="4908A73B" w:rsidR="004B188D"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color w:val="1F3864" w:themeColor="accent1" w:themeShade="80"/>
        </w:rPr>
        <w:t xml:space="preserve">The total project cost was €7,428, of which SHARP </w:t>
      </w:r>
      <w:r w:rsidR="0081447C" w:rsidRPr="00735EC1">
        <w:rPr>
          <w:rFonts w:ascii="Calibri" w:eastAsia="Calibri" w:hAnsi="Calibri" w:cs="Calibri"/>
          <w:color w:val="1F3864" w:themeColor="accent1" w:themeShade="80"/>
        </w:rPr>
        <w:t xml:space="preserve">generously </w:t>
      </w:r>
      <w:r w:rsidRPr="00735EC1">
        <w:rPr>
          <w:rFonts w:ascii="Calibri" w:eastAsia="Calibri" w:hAnsi="Calibri" w:cs="Calibri"/>
          <w:color w:val="1F3864" w:themeColor="accent1" w:themeShade="80"/>
        </w:rPr>
        <w:t>contributed €</w:t>
      </w:r>
      <w:r w:rsidR="0081447C" w:rsidRPr="00735EC1">
        <w:rPr>
          <w:rFonts w:ascii="Calibri" w:eastAsia="Calibri" w:hAnsi="Calibri" w:cs="Calibri"/>
          <w:color w:val="1F3864" w:themeColor="accent1" w:themeShade="80"/>
        </w:rPr>
        <w:t>7</w:t>
      </w:r>
      <w:r w:rsidRPr="00735EC1">
        <w:rPr>
          <w:rFonts w:ascii="Calibri" w:eastAsia="Calibri" w:hAnsi="Calibri" w:cs="Calibri"/>
          <w:color w:val="1F3864" w:themeColor="accent1" w:themeShade="80"/>
        </w:rPr>
        <w:t>,0</w:t>
      </w:r>
      <w:r w:rsidR="0081447C" w:rsidRPr="00735EC1">
        <w:rPr>
          <w:rFonts w:ascii="Calibri" w:eastAsia="Calibri" w:hAnsi="Calibri" w:cs="Calibri"/>
          <w:color w:val="1F3864" w:themeColor="accent1" w:themeShade="80"/>
        </w:rPr>
        <w:t>21</w:t>
      </w:r>
      <w:r w:rsidRPr="00735EC1">
        <w:rPr>
          <w:rFonts w:ascii="Calibri" w:eastAsia="Calibri" w:hAnsi="Calibri" w:cs="Calibri"/>
          <w:color w:val="1F3864" w:themeColor="accent1" w:themeShade="80"/>
        </w:rPr>
        <w:t xml:space="preserve">. </w:t>
      </w:r>
    </w:p>
    <w:p w14:paraId="084CFF4E" w14:textId="157803C1" w:rsidR="004B188D" w:rsidRPr="00735EC1" w:rsidRDefault="6095A422" w:rsidP="6095A422">
      <w:pPr>
        <w:spacing w:after="120" w:line="276" w:lineRule="auto"/>
        <w:ind w:right="76"/>
        <w:jc w:val="both"/>
        <w:rPr>
          <w:rFonts w:ascii="Calibri" w:eastAsia="Calibri" w:hAnsi="Calibri" w:cs="Calibri"/>
          <w:color w:val="1F3864" w:themeColor="accent1" w:themeShade="80"/>
          <w:sz w:val="24"/>
          <w:szCs w:val="24"/>
        </w:rPr>
      </w:pPr>
      <w:r w:rsidRPr="00735EC1">
        <w:rPr>
          <w:rFonts w:ascii="Calibri" w:eastAsia="Calibri" w:hAnsi="Calibri" w:cs="Calibri"/>
          <w:b/>
          <w:bCs/>
          <w:color w:val="1F3864" w:themeColor="accent1" w:themeShade="80"/>
          <w:sz w:val="24"/>
          <w:szCs w:val="24"/>
        </w:rPr>
        <w:t>Project objective:</w:t>
      </w:r>
      <w:r w:rsidRPr="00735EC1">
        <w:rPr>
          <w:rFonts w:ascii="Calibri" w:eastAsia="Calibri" w:hAnsi="Calibri" w:cs="Calibri"/>
          <w:color w:val="1F3864" w:themeColor="accent1" w:themeShade="80"/>
          <w:sz w:val="24"/>
          <w:szCs w:val="24"/>
        </w:rPr>
        <w:t xml:space="preserve"> </w:t>
      </w:r>
    </w:p>
    <w:p w14:paraId="1D806C8D" w14:textId="57856808" w:rsidR="004B188D" w:rsidRPr="00735EC1" w:rsidRDefault="6095A422" w:rsidP="6095A422">
      <w:pPr>
        <w:spacing w:after="120" w:line="276" w:lineRule="auto"/>
        <w:ind w:right="76"/>
        <w:jc w:val="both"/>
        <w:rPr>
          <w:rFonts w:ascii="Calibri" w:eastAsia="Calibri" w:hAnsi="Calibri" w:cs="Calibri"/>
          <w:color w:val="1F3864" w:themeColor="accent1" w:themeShade="80"/>
        </w:rPr>
      </w:pPr>
      <w:r w:rsidRPr="00735EC1">
        <w:rPr>
          <w:rFonts w:ascii="Calibri" w:eastAsia="Calibri" w:hAnsi="Calibri" w:cs="Calibri"/>
          <w:color w:val="1F3864" w:themeColor="accent1" w:themeShade="80"/>
        </w:rPr>
        <w:t>The objective of this project was to improve the health status, prevent COVID-19 transmission and reduce incidence of water-related disease and infection amongst rural communities in South Gonder Zone by ensuring continued access to safe water and by improving community-led hygiene management. The project realised this objective over the past year and the health of 3,500 individuals in seven rural villages was protected and improved.</w:t>
      </w:r>
    </w:p>
    <w:p w14:paraId="26F78C67" w14:textId="0006D528" w:rsidR="004B188D" w:rsidRPr="00735EC1" w:rsidRDefault="6095A422" w:rsidP="6095A422">
      <w:pPr>
        <w:spacing w:after="120" w:line="276" w:lineRule="auto"/>
        <w:ind w:right="76"/>
        <w:jc w:val="both"/>
        <w:rPr>
          <w:rFonts w:ascii="Calibri" w:eastAsia="Calibri" w:hAnsi="Calibri" w:cs="Calibri"/>
          <w:color w:val="1F3864" w:themeColor="accent1" w:themeShade="80"/>
        </w:rPr>
      </w:pPr>
      <w:r w:rsidRPr="00735EC1">
        <w:rPr>
          <w:rFonts w:ascii="Calibri" w:eastAsia="Calibri" w:hAnsi="Calibri" w:cs="Calibri"/>
          <w:color w:val="1F3864" w:themeColor="accent1" w:themeShade="80"/>
        </w:rPr>
        <w:t>Vita achieved this by capitalising on the unique opportunity presented by the COVID-19 pandemic and increased community desire to lower the risk of COVID-19 transmission. The project used this heightened interest to strengthen the link between safe water, household hygiene and health in rural communities in the north-west of Ethiopia. The project carried out maintenance work on seven water points (each water point approximately serving 500 people) and trained community members in good hygiene practice.</w:t>
      </w:r>
    </w:p>
    <w:p w14:paraId="731AE661" w14:textId="272FCF2F" w:rsidR="004B188D" w:rsidRPr="00735EC1" w:rsidRDefault="6095A422" w:rsidP="6095A422">
      <w:pPr>
        <w:spacing w:after="120" w:line="276" w:lineRule="auto"/>
        <w:ind w:right="80"/>
        <w:jc w:val="both"/>
        <w:rPr>
          <w:rFonts w:ascii="Calibri" w:eastAsia="Calibri" w:hAnsi="Calibri" w:cs="Calibri"/>
          <w:color w:val="1F3864" w:themeColor="accent1" w:themeShade="80"/>
          <w:sz w:val="24"/>
          <w:szCs w:val="24"/>
        </w:rPr>
      </w:pPr>
      <w:r w:rsidRPr="00735EC1">
        <w:rPr>
          <w:rFonts w:ascii="Calibri" w:eastAsia="Calibri" w:hAnsi="Calibri" w:cs="Calibri"/>
          <w:b/>
          <w:bCs/>
          <w:color w:val="1F3864" w:themeColor="accent1" w:themeShade="80"/>
          <w:sz w:val="24"/>
          <w:szCs w:val="24"/>
          <w:lang w:val="en-GB"/>
        </w:rPr>
        <w:t>Project Location</w:t>
      </w:r>
    </w:p>
    <w:p w14:paraId="1F8B733C" w14:textId="6E3F35CA" w:rsidR="004B188D"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color w:val="1F3864" w:themeColor="accent1" w:themeShade="80"/>
        </w:rPr>
        <w:lastRenderedPageBreak/>
        <w:t>The project w</w:t>
      </w:r>
      <w:r w:rsidR="00D57223">
        <w:rPr>
          <w:rFonts w:ascii="Calibri" w:eastAsia="Calibri" w:hAnsi="Calibri" w:cs="Calibri"/>
          <w:color w:val="1F3864" w:themeColor="accent1" w:themeShade="80"/>
        </w:rPr>
        <w:t>as</w:t>
      </w:r>
      <w:r w:rsidRPr="00735EC1">
        <w:rPr>
          <w:rFonts w:ascii="Calibri" w:eastAsia="Calibri" w:hAnsi="Calibri" w:cs="Calibri"/>
          <w:color w:val="1F3864" w:themeColor="accent1" w:themeShade="80"/>
        </w:rPr>
        <w:t xml:space="preserve"> implemented in seven rural villages located in South Gonder Zone, Amhara Region, situated in the north-west of Ethiopia. Please see the project location in the map below.</w:t>
      </w:r>
    </w:p>
    <w:p w14:paraId="603AE906" w14:textId="18662688" w:rsidR="004B188D" w:rsidRPr="00735EC1" w:rsidRDefault="00735EC1" w:rsidP="6095A422">
      <w:pPr>
        <w:spacing w:after="120" w:line="276" w:lineRule="auto"/>
        <w:jc w:val="both"/>
        <w:rPr>
          <w:color w:val="1F3864" w:themeColor="accent1" w:themeShade="80"/>
        </w:rPr>
      </w:pPr>
      <w:r>
        <w:rPr>
          <w:noProof/>
          <w:color w:val="4472C4" w:themeColor="accent1"/>
          <w:lang w:val="en-IE" w:eastAsia="en-IE"/>
        </w:rPr>
        <w:drawing>
          <wp:inline distT="0" distB="0" distL="0" distR="0" wp14:anchorId="21E0E5E2" wp14:editId="22E8E673">
            <wp:extent cx="3790950" cy="369343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P-OF-ADMINISTRATIVE-ZONES-AMHARA-STATE.jpg"/>
                    <pic:cNvPicPr/>
                  </pic:nvPicPr>
                  <pic:blipFill>
                    <a:blip r:embed="rId13">
                      <a:extLst>
                        <a:ext uri="{28A0092B-C50C-407E-A947-70E740481C1C}">
                          <a14:useLocalDpi xmlns:a14="http://schemas.microsoft.com/office/drawing/2010/main" val="0"/>
                        </a:ext>
                      </a:extLst>
                    </a:blip>
                    <a:stretch>
                      <a:fillRect/>
                    </a:stretch>
                  </pic:blipFill>
                  <pic:spPr>
                    <a:xfrm>
                      <a:off x="0" y="0"/>
                      <a:ext cx="3806129" cy="3708222"/>
                    </a:xfrm>
                    <a:prstGeom prst="rect">
                      <a:avLst/>
                    </a:prstGeom>
                  </pic:spPr>
                </pic:pic>
              </a:graphicData>
            </a:graphic>
          </wp:inline>
        </w:drawing>
      </w:r>
    </w:p>
    <w:p w14:paraId="46AA1010" w14:textId="29425444" w:rsidR="004B188D" w:rsidRPr="00735EC1" w:rsidRDefault="6095A422" w:rsidP="6095A422">
      <w:pPr>
        <w:spacing w:after="120" w:line="276" w:lineRule="auto"/>
        <w:jc w:val="both"/>
        <w:rPr>
          <w:rFonts w:ascii="Calibri" w:eastAsia="Calibri" w:hAnsi="Calibri" w:cs="Calibri"/>
          <w:color w:val="1F3864" w:themeColor="accent1" w:themeShade="80"/>
          <w:sz w:val="20"/>
          <w:szCs w:val="20"/>
        </w:rPr>
      </w:pPr>
      <w:r w:rsidRPr="00735EC1">
        <w:rPr>
          <w:rFonts w:ascii="Calibri" w:eastAsia="Calibri" w:hAnsi="Calibri" w:cs="Calibri"/>
          <w:i/>
          <w:iCs/>
          <w:color w:val="1F3864" w:themeColor="accent1" w:themeShade="80"/>
          <w:sz w:val="20"/>
          <w:szCs w:val="20"/>
        </w:rPr>
        <w:t>Figure 1: Location of South Gonder Zone, Amhara region, Ethiopia</w:t>
      </w:r>
    </w:p>
    <w:p w14:paraId="077EC085" w14:textId="78CE453F" w:rsidR="004B188D" w:rsidRPr="00735EC1" w:rsidRDefault="004B188D" w:rsidP="6095A422">
      <w:pPr>
        <w:spacing w:after="120" w:line="276" w:lineRule="auto"/>
        <w:jc w:val="both"/>
        <w:rPr>
          <w:rFonts w:ascii="Calibri" w:eastAsia="Calibri" w:hAnsi="Calibri" w:cs="Calibri"/>
          <w:color w:val="1F3864" w:themeColor="accent1" w:themeShade="80"/>
          <w:sz w:val="20"/>
          <w:szCs w:val="20"/>
        </w:rPr>
      </w:pPr>
    </w:p>
    <w:p w14:paraId="5F6F3EE7" w14:textId="05BD4103" w:rsidR="004B188D" w:rsidRPr="00735EC1" w:rsidRDefault="6095A422" w:rsidP="6095A422">
      <w:pPr>
        <w:spacing w:after="120" w:line="276" w:lineRule="auto"/>
        <w:jc w:val="both"/>
        <w:rPr>
          <w:rFonts w:ascii="Calibri" w:eastAsia="Calibri" w:hAnsi="Calibri" w:cs="Calibri"/>
          <w:color w:val="1F3864" w:themeColor="accent1" w:themeShade="80"/>
          <w:sz w:val="24"/>
          <w:szCs w:val="24"/>
        </w:rPr>
      </w:pPr>
      <w:r w:rsidRPr="00735EC1">
        <w:rPr>
          <w:rFonts w:ascii="Calibri" w:eastAsia="Calibri" w:hAnsi="Calibri" w:cs="Calibri"/>
          <w:b/>
          <w:bCs/>
          <w:color w:val="1F3864" w:themeColor="accent1" w:themeShade="80"/>
          <w:sz w:val="24"/>
          <w:szCs w:val="24"/>
          <w:lang w:val="en-GB"/>
        </w:rPr>
        <w:t>Beneficiaries</w:t>
      </w:r>
    </w:p>
    <w:p w14:paraId="523BF6CA" w14:textId="4D63A015" w:rsidR="004B188D" w:rsidRDefault="6095A422" w:rsidP="00D57223">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color w:val="1F3864" w:themeColor="accent1" w:themeShade="80"/>
        </w:rPr>
        <w:t xml:space="preserve">3,500 individuals benefitted from the maintenance of seven water points (each water point approximately serving 500 people) and from the practical training in good hygiene practice and </w:t>
      </w:r>
      <w:r w:rsidR="00D57223">
        <w:rPr>
          <w:rFonts w:ascii="Calibri" w:eastAsia="Calibri" w:hAnsi="Calibri" w:cs="Calibri"/>
          <w:color w:val="1F3864" w:themeColor="accent1" w:themeShade="80"/>
        </w:rPr>
        <w:t xml:space="preserve">how to </w:t>
      </w:r>
      <w:proofErr w:type="spellStart"/>
      <w:r w:rsidRPr="00735EC1">
        <w:rPr>
          <w:rFonts w:ascii="Calibri" w:eastAsia="Calibri" w:hAnsi="Calibri" w:cs="Calibri"/>
          <w:color w:val="1F3864" w:themeColor="accent1" w:themeShade="80"/>
        </w:rPr>
        <w:t>minimise</w:t>
      </w:r>
      <w:proofErr w:type="spellEnd"/>
      <w:r w:rsidRPr="00735EC1">
        <w:rPr>
          <w:rFonts w:ascii="Calibri" w:eastAsia="Calibri" w:hAnsi="Calibri" w:cs="Calibri"/>
          <w:color w:val="1F3864" w:themeColor="accent1" w:themeShade="80"/>
        </w:rPr>
        <w:t xml:space="preserve"> </w:t>
      </w:r>
      <w:r w:rsidR="00D57223">
        <w:rPr>
          <w:rFonts w:ascii="Calibri" w:eastAsia="Calibri" w:hAnsi="Calibri" w:cs="Calibri"/>
          <w:color w:val="1F3864" w:themeColor="accent1" w:themeShade="80"/>
        </w:rPr>
        <w:t xml:space="preserve">the </w:t>
      </w:r>
      <w:r w:rsidRPr="00735EC1">
        <w:rPr>
          <w:rFonts w:ascii="Calibri" w:eastAsia="Calibri" w:hAnsi="Calibri" w:cs="Calibri"/>
          <w:color w:val="1F3864" w:themeColor="accent1" w:themeShade="80"/>
        </w:rPr>
        <w:t>risk of contract</w:t>
      </w:r>
      <w:r w:rsidR="00D57223">
        <w:rPr>
          <w:rFonts w:ascii="Calibri" w:eastAsia="Calibri" w:hAnsi="Calibri" w:cs="Calibri"/>
          <w:color w:val="1F3864" w:themeColor="accent1" w:themeShade="80"/>
        </w:rPr>
        <w:t>ing</w:t>
      </w:r>
      <w:r w:rsidRPr="00735EC1">
        <w:rPr>
          <w:rFonts w:ascii="Calibri" w:eastAsia="Calibri" w:hAnsi="Calibri" w:cs="Calibri"/>
          <w:color w:val="1F3864" w:themeColor="accent1" w:themeShade="80"/>
        </w:rPr>
        <w:t xml:space="preserve"> water-related diseases and COVID-19.  </w:t>
      </w:r>
    </w:p>
    <w:p w14:paraId="020125EA" w14:textId="77777777" w:rsidR="00D57223" w:rsidRPr="00D57223" w:rsidRDefault="00D57223" w:rsidP="00D57223">
      <w:pPr>
        <w:spacing w:after="120" w:line="276" w:lineRule="auto"/>
        <w:jc w:val="both"/>
        <w:rPr>
          <w:rFonts w:ascii="Calibri" w:eastAsia="Calibri" w:hAnsi="Calibri" w:cs="Calibri"/>
          <w:color w:val="1F3864" w:themeColor="accent1" w:themeShade="80"/>
        </w:rPr>
      </w:pPr>
    </w:p>
    <w:p w14:paraId="31491448" w14:textId="25DC0E3C" w:rsidR="004B188D" w:rsidRPr="00735EC1" w:rsidRDefault="6095A422" w:rsidP="6095A422">
      <w:pPr>
        <w:spacing w:after="120" w:line="276" w:lineRule="auto"/>
        <w:ind w:right="130"/>
        <w:jc w:val="both"/>
        <w:rPr>
          <w:rFonts w:ascii="Calibri" w:eastAsia="Calibri" w:hAnsi="Calibri" w:cs="Calibri"/>
          <w:color w:val="1F3864" w:themeColor="accent1" w:themeShade="80"/>
          <w:sz w:val="24"/>
          <w:szCs w:val="24"/>
        </w:rPr>
      </w:pPr>
      <w:r w:rsidRPr="00735EC1">
        <w:rPr>
          <w:rFonts w:ascii="Calibri" w:eastAsia="Calibri" w:hAnsi="Calibri" w:cs="Calibri"/>
          <w:b/>
          <w:bCs/>
          <w:color w:val="1F3864" w:themeColor="accent1" w:themeShade="80"/>
          <w:sz w:val="24"/>
          <w:szCs w:val="24"/>
          <w:lang w:val="en-GB"/>
        </w:rPr>
        <w:t>Key Activities and Results</w:t>
      </w:r>
    </w:p>
    <w:p w14:paraId="7EE40753" w14:textId="71B4497C" w:rsidR="004B188D" w:rsidRPr="00735EC1" w:rsidRDefault="006F52A7" w:rsidP="00866878">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color w:val="1F3864" w:themeColor="accent1" w:themeShade="80"/>
        </w:rPr>
        <w:t>(</w:t>
      </w:r>
      <w:r w:rsidR="6095A422" w:rsidRPr="00735EC1">
        <w:rPr>
          <w:rFonts w:ascii="Calibri" w:eastAsia="Calibri" w:hAnsi="Calibri" w:cs="Calibri"/>
          <w:color w:val="1F3864" w:themeColor="accent1" w:themeShade="80"/>
        </w:rPr>
        <w:t xml:space="preserve">1) </w:t>
      </w:r>
      <w:r w:rsidR="00400819">
        <w:rPr>
          <w:rFonts w:ascii="Calibri" w:eastAsia="Calibri" w:hAnsi="Calibri" w:cs="Calibri"/>
          <w:color w:val="1F3864" w:themeColor="accent1" w:themeShade="80"/>
        </w:rPr>
        <w:t>S</w:t>
      </w:r>
      <w:r w:rsidR="6095A422" w:rsidRPr="00735EC1">
        <w:rPr>
          <w:rFonts w:ascii="Calibri" w:eastAsia="Calibri" w:hAnsi="Calibri" w:cs="Calibri"/>
          <w:color w:val="1F3864" w:themeColor="accent1" w:themeShade="80"/>
        </w:rPr>
        <w:t>pare parts for maintenance of seven water points</w:t>
      </w:r>
      <w:r w:rsidR="00400819">
        <w:rPr>
          <w:rFonts w:ascii="Calibri" w:eastAsia="Calibri" w:hAnsi="Calibri" w:cs="Calibri"/>
          <w:color w:val="1F3864" w:themeColor="accent1" w:themeShade="80"/>
        </w:rPr>
        <w:t xml:space="preserve"> purchased:</w:t>
      </w:r>
      <w:r w:rsidR="6095A422" w:rsidRPr="00735EC1">
        <w:rPr>
          <w:rFonts w:ascii="Calibri" w:eastAsia="Calibri" w:hAnsi="Calibri" w:cs="Calibri"/>
          <w:color w:val="1F3864" w:themeColor="accent1" w:themeShade="80"/>
        </w:rPr>
        <w:t xml:space="preserve"> The project carr</w:t>
      </w:r>
      <w:r w:rsidR="00866878">
        <w:rPr>
          <w:rFonts w:ascii="Calibri" w:eastAsia="Calibri" w:hAnsi="Calibri" w:cs="Calibri"/>
          <w:color w:val="1F3864" w:themeColor="accent1" w:themeShade="80"/>
        </w:rPr>
        <w:t>ied</w:t>
      </w:r>
      <w:r w:rsidR="6095A422" w:rsidRPr="00735EC1">
        <w:rPr>
          <w:rFonts w:ascii="Calibri" w:eastAsia="Calibri" w:hAnsi="Calibri" w:cs="Calibri"/>
          <w:color w:val="1F3864" w:themeColor="accent1" w:themeShade="80"/>
        </w:rPr>
        <w:t xml:space="preserve"> out a detailed maintenance assessment of each water point. This assessment identif</w:t>
      </w:r>
      <w:r w:rsidR="00866878">
        <w:rPr>
          <w:rFonts w:ascii="Calibri" w:eastAsia="Calibri" w:hAnsi="Calibri" w:cs="Calibri"/>
          <w:color w:val="1F3864" w:themeColor="accent1" w:themeShade="80"/>
        </w:rPr>
        <w:t>ied</w:t>
      </w:r>
      <w:r w:rsidR="6095A422" w:rsidRPr="00735EC1">
        <w:rPr>
          <w:rFonts w:ascii="Calibri" w:eastAsia="Calibri" w:hAnsi="Calibri" w:cs="Calibri"/>
          <w:color w:val="1F3864" w:themeColor="accent1" w:themeShade="80"/>
        </w:rPr>
        <w:t xml:space="preserve"> the types of water spare parts repaired to keep the water points fully functional. </w:t>
      </w:r>
      <w:r w:rsidR="00866878" w:rsidRPr="00735EC1">
        <w:rPr>
          <w:rFonts w:ascii="Calibri" w:eastAsia="Calibri" w:hAnsi="Calibri" w:cs="Calibri"/>
          <w:color w:val="1F3864" w:themeColor="accent1" w:themeShade="80"/>
        </w:rPr>
        <w:t xml:space="preserve">Vita will purchase the required parts and materials </w:t>
      </w:r>
      <w:r w:rsidR="00866878">
        <w:rPr>
          <w:rFonts w:ascii="Calibri" w:eastAsia="Calibri" w:hAnsi="Calibri" w:cs="Calibri"/>
          <w:color w:val="1F3864" w:themeColor="accent1" w:themeShade="80"/>
        </w:rPr>
        <w:t xml:space="preserve">identified </w:t>
      </w:r>
      <w:r w:rsidR="00866878" w:rsidRPr="00735EC1">
        <w:rPr>
          <w:rFonts w:ascii="Calibri" w:eastAsia="Calibri" w:hAnsi="Calibri" w:cs="Calibri"/>
          <w:color w:val="1F3864" w:themeColor="accent1" w:themeShade="80"/>
        </w:rPr>
        <w:t>as pe</w:t>
      </w:r>
      <w:r w:rsidR="00866878">
        <w:rPr>
          <w:rFonts w:ascii="Calibri" w:eastAsia="Calibri" w:hAnsi="Calibri" w:cs="Calibri"/>
          <w:color w:val="1F3864" w:themeColor="accent1" w:themeShade="80"/>
        </w:rPr>
        <w:t>r Vita procurement procedures. These included p</w:t>
      </w:r>
      <w:r w:rsidR="6095A422" w:rsidRPr="00735EC1">
        <w:rPr>
          <w:rFonts w:ascii="Calibri" w:eastAsia="Calibri" w:hAnsi="Calibri" w:cs="Calibri"/>
          <w:color w:val="1F3864" w:themeColor="accent1" w:themeShade="80"/>
        </w:rPr>
        <w:t>ump heads, chains, valv</w:t>
      </w:r>
      <w:r w:rsidR="00866878">
        <w:rPr>
          <w:rFonts w:ascii="Calibri" w:eastAsia="Calibri" w:hAnsi="Calibri" w:cs="Calibri"/>
          <w:color w:val="1F3864" w:themeColor="accent1" w:themeShade="80"/>
        </w:rPr>
        <w:t>es, cylinders and pipes</w:t>
      </w:r>
      <w:r w:rsidR="6095A422" w:rsidRPr="00735EC1">
        <w:rPr>
          <w:rFonts w:ascii="Calibri" w:eastAsia="Calibri" w:hAnsi="Calibri" w:cs="Calibri"/>
          <w:color w:val="1F3864" w:themeColor="accent1" w:themeShade="80"/>
        </w:rPr>
        <w:t xml:space="preserve">. </w:t>
      </w:r>
    </w:p>
    <w:p w14:paraId="47AEE9FB" w14:textId="17A75B9F" w:rsidR="004B188D"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color w:val="1F3864" w:themeColor="accent1" w:themeShade="80"/>
        </w:rPr>
        <w:t xml:space="preserve">(2) Maintenance of seven water points: </w:t>
      </w:r>
      <w:r w:rsidR="00031A66">
        <w:rPr>
          <w:rFonts w:ascii="Calibri" w:eastAsia="Calibri" w:hAnsi="Calibri" w:cs="Calibri"/>
          <w:color w:val="1F3864" w:themeColor="accent1" w:themeShade="80"/>
        </w:rPr>
        <w:t>T</w:t>
      </w:r>
      <w:r w:rsidRPr="00735EC1">
        <w:rPr>
          <w:rFonts w:ascii="Calibri" w:eastAsia="Calibri" w:hAnsi="Calibri" w:cs="Calibri"/>
          <w:color w:val="1F3864" w:themeColor="accent1" w:themeShade="80"/>
        </w:rPr>
        <w:t xml:space="preserve">he </w:t>
      </w:r>
      <w:r w:rsidR="00031A66">
        <w:rPr>
          <w:rFonts w:ascii="Calibri" w:eastAsia="Calibri" w:hAnsi="Calibri" w:cs="Calibri"/>
          <w:color w:val="1F3864" w:themeColor="accent1" w:themeShade="80"/>
        </w:rPr>
        <w:t xml:space="preserve">physical </w:t>
      </w:r>
      <w:r w:rsidRPr="00735EC1">
        <w:rPr>
          <w:rFonts w:ascii="Calibri" w:eastAsia="Calibri" w:hAnsi="Calibri" w:cs="Calibri"/>
          <w:color w:val="1F3864" w:themeColor="accent1" w:themeShade="80"/>
        </w:rPr>
        <w:t xml:space="preserve">repair work </w:t>
      </w:r>
      <w:r w:rsidR="00031A66">
        <w:rPr>
          <w:rFonts w:ascii="Calibri" w:eastAsia="Calibri" w:hAnsi="Calibri" w:cs="Calibri"/>
          <w:color w:val="1F3864" w:themeColor="accent1" w:themeShade="80"/>
        </w:rPr>
        <w:t>was</w:t>
      </w:r>
      <w:r w:rsidRPr="00735EC1">
        <w:rPr>
          <w:rFonts w:ascii="Calibri" w:eastAsia="Calibri" w:hAnsi="Calibri" w:cs="Calibri"/>
          <w:color w:val="1F3864" w:themeColor="accent1" w:themeShade="80"/>
        </w:rPr>
        <w:t xml:space="preserve"> carried out </w:t>
      </w:r>
      <w:r w:rsidR="00031A66">
        <w:rPr>
          <w:rFonts w:ascii="Calibri" w:eastAsia="Calibri" w:hAnsi="Calibri" w:cs="Calibri"/>
          <w:color w:val="1F3864" w:themeColor="accent1" w:themeShade="80"/>
        </w:rPr>
        <w:t xml:space="preserve">on seven water points by external </w:t>
      </w:r>
      <w:r w:rsidR="00031A66" w:rsidRPr="00735EC1">
        <w:rPr>
          <w:rFonts w:ascii="Calibri" w:eastAsia="Calibri" w:hAnsi="Calibri" w:cs="Calibri"/>
          <w:color w:val="1F3864" w:themeColor="accent1" w:themeShade="80"/>
        </w:rPr>
        <w:t>water technicians</w:t>
      </w:r>
      <w:r w:rsidR="00031A66">
        <w:rPr>
          <w:rFonts w:ascii="Calibri" w:eastAsia="Calibri" w:hAnsi="Calibri" w:cs="Calibri"/>
          <w:color w:val="1F3864" w:themeColor="accent1" w:themeShade="80"/>
        </w:rPr>
        <w:t xml:space="preserve">. Vita hired </w:t>
      </w:r>
      <w:r w:rsidR="00031A66" w:rsidRPr="00735EC1">
        <w:rPr>
          <w:rFonts w:ascii="Calibri" w:eastAsia="Calibri" w:hAnsi="Calibri" w:cs="Calibri"/>
          <w:color w:val="1F3864" w:themeColor="accent1" w:themeShade="80"/>
        </w:rPr>
        <w:t xml:space="preserve">construction specialists </w:t>
      </w:r>
      <w:r w:rsidR="00031A66">
        <w:rPr>
          <w:rFonts w:ascii="Calibri" w:eastAsia="Calibri" w:hAnsi="Calibri" w:cs="Calibri"/>
          <w:color w:val="1F3864" w:themeColor="accent1" w:themeShade="80"/>
        </w:rPr>
        <w:t xml:space="preserve">to carry out the necessary </w:t>
      </w:r>
      <w:r w:rsidR="00031A66" w:rsidRPr="00735EC1">
        <w:rPr>
          <w:rFonts w:ascii="Calibri" w:eastAsia="Calibri" w:hAnsi="Calibri" w:cs="Calibri"/>
          <w:color w:val="1F3864" w:themeColor="accent1" w:themeShade="80"/>
        </w:rPr>
        <w:t>masonry wor</w:t>
      </w:r>
      <w:r w:rsidR="00031A66">
        <w:rPr>
          <w:rFonts w:ascii="Calibri" w:eastAsia="Calibri" w:hAnsi="Calibri" w:cs="Calibri"/>
          <w:color w:val="1F3864" w:themeColor="accent1" w:themeShade="80"/>
        </w:rPr>
        <w:t xml:space="preserve">k. All maintenance was carried out </w:t>
      </w:r>
      <w:r w:rsidRPr="00735EC1">
        <w:rPr>
          <w:rFonts w:ascii="Calibri" w:eastAsia="Calibri" w:hAnsi="Calibri" w:cs="Calibri"/>
          <w:color w:val="1F3864" w:themeColor="accent1" w:themeShade="80"/>
        </w:rPr>
        <w:t xml:space="preserve">in close collaboration with local government experts and the communities. </w:t>
      </w:r>
    </w:p>
    <w:p w14:paraId="57E50333" w14:textId="60338251" w:rsidR="004B188D"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color w:val="1F3864" w:themeColor="accent1" w:themeShade="80"/>
        </w:rPr>
        <w:lastRenderedPageBreak/>
        <w:t xml:space="preserve"> </w:t>
      </w:r>
    </w:p>
    <w:p w14:paraId="7F6FA6F0" w14:textId="2AEC4A40" w:rsidR="004B188D"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color w:val="1F3864" w:themeColor="accent1" w:themeShade="80"/>
        </w:rPr>
        <w:t xml:space="preserve">(3) </w:t>
      </w:r>
      <w:r w:rsidR="00400819">
        <w:rPr>
          <w:rFonts w:ascii="Calibri" w:eastAsia="Calibri" w:hAnsi="Calibri" w:cs="Calibri"/>
          <w:color w:val="1F3864" w:themeColor="accent1" w:themeShade="80"/>
        </w:rPr>
        <w:t>W</w:t>
      </w:r>
      <w:r w:rsidRPr="00735EC1">
        <w:rPr>
          <w:rFonts w:ascii="Calibri" w:eastAsia="Calibri" w:hAnsi="Calibri" w:cs="Calibri"/>
          <w:color w:val="1F3864" w:themeColor="accent1" w:themeShade="80"/>
        </w:rPr>
        <w:t xml:space="preserve">ater quality tests </w:t>
      </w:r>
      <w:r w:rsidR="00400819">
        <w:rPr>
          <w:rFonts w:ascii="Calibri" w:eastAsia="Calibri" w:hAnsi="Calibri" w:cs="Calibri"/>
          <w:color w:val="1F3864" w:themeColor="accent1" w:themeShade="80"/>
        </w:rPr>
        <w:t xml:space="preserve">conducted </w:t>
      </w:r>
      <w:r w:rsidRPr="00735EC1">
        <w:rPr>
          <w:rFonts w:ascii="Calibri" w:eastAsia="Calibri" w:hAnsi="Calibri" w:cs="Calibri"/>
          <w:color w:val="1F3864" w:themeColor="accent1" w:themeShade="80"/>
        </w:rPr>
        <w:t xml:space="preserve">on seven water points: </w:t>
      </w:r>
      <w:r w:rsidR="00C668FF">
        <w:rPr>
          <w:rFonts w:ascii="Calibri" w:eastAsia="Calibri" w:hAnsi="Calibri" w:cs="Calibri"/>
          <w:color w:val="1F3864" w:themeColor="accent1" w:themeShade="80"/>
        </w:rPr>
        <w:t>Once</w:t>
      </w:r>
      <w:r w:rsidR="00400819">
        <w:rPr>
          <w:rFonts w:ascii="Calibri" w:eastAsia="Calibri" w:hAnsi="Calibri" w:cs="Calibri"/>
          <w:color w:val="1F3864" w:themeColor="accent1" w:themeShade="80"/>
        </w:rPr>
        <w:t xml:space="preserve"> maintenance work was completed, the quality of w</w:t>
      </w:r>
      <w:r w:rsidR="00400819" w:rsidRPr="00735EC1">
        <w:rPr>
          <w:rFonts w:ascii="Calibri" w:eastAsia="Calibri" w:hAnsi="Calibri" w:cs="Calibri"/>
          <w:color w:val="1F3864" w:themeColor="accent1" w:themeShade="80"/>
        </w:rPr>
        <w:t>ater</w:t>
      </w:r>
      <w:r w:rsidR="00400819">
        <w:rPr>
          <w:rFonts w:ascii="Calibri" w:eastAsia="Calibri" w:hAnsi="Calibri" w:cs="Calibri"/>
          <w:color w:val="1F3864" w:themeColor="accent1" w:themeShade="80"/>
        </w:rPr>
        <w:t xml:space="preserve"> was</w:t>
      </w:r>
      <w:r w:rsidR="00400819" w:rsidRPr="00735EC1">
        <w:rPr>
          <w:rFonts w:ascii="Calibri" w:eastAsia="Calibri" w:hAnsi="Calibri" w:cs="Calibri"/>
          <w:color w:val="1F3864" w:themeColor="accent1" w:themeShade="80"/>
        </w:rPr>
        <w:t xml:space="preserve"> test</w:t>
      </w:r>
      <w:r w:rsidR="00400819">
        <w:rPr>
          <w:rFonts w:ascii="Calibri" w:eastAsia="Calibri" w:hAnsi="Calibri" w:cs="Calibri"/>
          <w:color w:val="1F3864" w:themeColor="accent1" w:themeShade="80"/>
        </w:rPr>
        <w:t xml:space="preserve">ed and </w:t>
      </w:r>
      <w:r w:rsidR="00400819" w:rsidRPr="00735EC1">
        <w:rPr>
          <w:rFonts w:ascii="Calibri" w:eastAsia="Calibri" w:hAnsi="Calibri" w:cs="Calibri"/>
          <w:color w:val="1F3864" w:themeColor="accent1" w:themeShade="80"/>
        </w:rPr>
        <w:t xml:space="preserve">purification treatment </w:t>
      </w:r>
      <w:r w:rsidR="00400819">
        <w:rPr>
          <w:rFonts w:ascii="Calibri" w:eastAsia="Calibri" w:hAnsi="Calibri" w:cs="Calibri"/>
          <w:color w:val="1F3864" w:themeColor="accent1" w:themeShade="80"/>
        </w:rPr>
        <w:t>was carried out where necessary</w:t>
      </w:r>
      <w:r w:rsidR="00400819" w:rsidRPr="00735EC1">
        <w:rPr>
          <w:rFonts w:ascii="Calibri" w:eastAsia="Calibri" w:hAnsi="Calibri" w:cs="Calibri"/>
          <w:color w:val="1F3864" w:themeColor="accent1" w:themeShade="80"/>
        </w:rPr>
        <w:t>.</w:t>
      </w:r>
      <w:r w:rsidR="00400819">
        <w:rPr>
          <w:rFonts w:ascii="Calibri" w:eastAsia="Calibri" w:hAnsi="Calibri" w:cs="Calibri"/>
          <w:color w:val="1F3864" w:themeColor="accent1" w:themeShade="80"/>
        </w:rPr>
        <w:t xml:space="preserve"> R</w:t>
      </w:r>
      <w:r w:rsidR="00400819" w:rsidRPr="00735EC1">
        <w:rPr>
          <w:rFonts w:ascii="Calibri" w:eastAsia="Calibri" w:hAnsi="Calibri" w:cs="Calibri"/>
          <w:color w:val="1F3864" w:themeColor="accent1" w:themeShade="80"/>
        </w:rPr>
        <w:t xml:space="preserve">egular </w:t>
      </w:r>
      <w:r w:rsidR="00400819">
        <w:rPr>
          <w:rFonts w:ascii="Calibri" w:eastAsia="Calibri" w:hAnsi="Calibri" w:cs="Calibri"/>
          <w:color w:val="1F3864" w:themeColor="accent1" w:themeShade="80"/>
        </w:rPr>
        <w:t>water quality testing was carried out to</w:t>
      </w:r>
      <w:r w:rsidRPr="00735EC1">
        <w:rPr>
          <w:rFonts w:ascii="Calibri" w:eastAsia="Calibri" w:hAnsi="Calibri" w:cs="Calibri"/>
          <w:color w:val="1F3864" w:themeColor="accent1" w:themeShade="80"/>
        </w:rPr>
        <w:t xml:space="preserve"> ensure that water is st</w:t>
      </w:r>
      <w:r w:rsidR="00400819">
        <w:rPr>
          <w:rFonts w:ascii="Calibri" w:eastAsia="Calibri" w:hAnsi="Calibri" w:cs="Calibri"/>
          <w:color w:val="1F3864" w:themeColor="accent1" w:themeShade="80"/>
        </w:rPr>
        <w:t>ill clean and safe for drinking.</w:t>
      </w:r>
      <w:r w:rsidRPr="00735EC1">
        <w:rPr>
          <w:rFonts w:ascii="Calibri" w:eastAsia="Calibri" w:hAnsi="Calibri" w:cs="Calibri"/>
          <w:color w:val="1F3864" w:themeColor="accent1" w:themeShade="80"/>
        </w:rPr>
        <w:t xml:space="preserve"> All testing and treatment </w:t>
      </w:r>
      <w:r w:rsidR="00400819">
        <w:rPr>
          <w:rFonts w:ascii="Calibri" w:eastAsia="Calibri" w:hAnsi="Calibri" w:cs="Calibri"/>
          <w:color w:val="1F3864" w:themeColor="accent1" w:themeShade="80"/>
        </w:rPr>
        <w:t>is in</w:t>
      </w:r>
      <w:r w:rsidRPr="00735EC1">
        <w:rPr>
          <w:rFonts w:ascii="Calibri" w:eastAsia="Calibri" w:hAnsi="Calibri" w:cs="Calibri"/>
          <w:color w:val="1F3864" w:themeColor="accent1" w:themeShade="80"/>
        </w:rPr>
        <w:t xml:space="preserve"> line with the parameters of the national water quality standards.  </w:t>
      </w:r>
    </w:p>
    <w:p w14:paraId="68E703DD" w14:textId="1F2EB8AF" w:rsidR="004B188D"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color w:val="1F3864" w:themeColor="accent1" w:themeShade="80"/>
        </w:rPr>
        <w:t xml:space="preserve">(4) </w:t>
      </w:r>
      <w:r w:rsidR="00400819">
        <w:rPr>
          <w:rFonts w:ascii="Calibri" w:eastAsia="Calibri" w:hAnsi="Calibri" w:cs="Calibri"/>
          <w:color w:val="1F3864" w:themeColor="accent1" w:themeShade="80"/>
        </w:rPr>
        <w:t xml:space="preserve">Seven </w:t>
      </w:r>
      <w:r w:rsidR="00400819" w:rsidRPr="00735EC1">
        <w:rPr>
          <w:rFonts w:ascii="Calibri" w:eastAsia="Calibri" w:hAnsi="Calibri" w:cs="Calibri"/>
          <w:color w:val="1F3864" w:themeColor="accent1" w:themeShade="80"/>
        </w:rPr>
        <w:t>community Water User Association committees (49 committee members)</w:t>
      </w:r>
      <w:r w:rsidR="00400819">
        <w:rPr>
          <w:rFonts w:ascii="Calibri" w:eastAsia="Calibri" w:hAnsi="Calibri" w:cs="Calibri"/>
          <w:color w:val="1F3864" w:themeColor="accent1" w:themeShade="80"/>
        </w:rPr>
        <w:t xml:space="preserve"> participated in c</w:t>
      </w:r>
      <w:r w:rsidRPr="00735EC1">
        <w:rPr>
          <w:rFonts w:ascii="Calibri" w:eastAsia="Calibri" w:hAnsi="Calibri" w:cs="Calibri"/>
          <w:color w:val="1F3864" w:themeColor="accent1" w:themeShade="80"/>
        </w:rPr>
        <w:t xml:space="preserve">ommunity and household hygiene, sanitation and disease prevention </w:t>
      </w:r>
      <w:proofErr w:type="spellStart"/>
      <w:r w:rsidRPr="00735EC1">
        <w:rPr>
          <w:rFonts w:ascii="Calibri" w:eastAsia="Calibri" w:hAnsi="Calibri" w:cs="Calibri"/>
          <w:color w:val="1F3864" w:themeColor="accent1" w:themeShade="80"/>
        </w:rPr>
        <w:t>ToT</w:t>
      </w:r>
      <w:proofErr w:type="spellEnd"/>
      <w:r w:rsidRPr="00735EC1">
        <w:rPr>
          <w:rFonts w:ascii="Calibri" w:eastAsia="Calibri" w:hAnsi="Calibri" w:cs="Calibri"/>
          <w:color w:val="1F3864" w:themeColor="accent1" w:themeShade="80"/>
        </w:rPr>
        <w:t xml:space="preserve"> training (T</w:t>
      </w:r>
      <w:r w:rsidR="00400819">
        <w:rPr>
          <w:rFonts w:ascii="Calibri" w:eastAsia="Calibri" w:hAnsi="Calibri" w:cs="Calibri"/>
          <w:color w:val="1F3864" w:themeColor="accent1" w:themeShade="80"/>
        </w:rPr>
        <w:t>raining of Trainers)</w:t>
      </w:r>
      <w:r w:rsidRPr="00735EC1">
        <w:rPr>
          <w:rFonts w:ascii="Calibri" w:eastAsia="Calibri" w:hAnsi="Calibri" w:cs="Calibri"/>
          <w:color w:val="1F3864" w:themeColor="accent1" w:themeShade="80"/>
        </w:rPr>
        <w:t xml:space="preserve">: This training </w:t>
      </w:r>
      <w:r w:rsidR="00400819">
        <w:rPr>
          <w:rFonts w:ascii="Calibri" w:eastAsia="Calibri" w:hAnsi="Calibri" w:cs="Calibri"/>
          <w:color w:val="1F3864" w:themeColor="accent1" w:themeShade="80"/>
        </w:rPr>
        <w:t>had</w:t>
      </w:r>
      <w:r w:rsidRPr="00735EC1">
        <w:rPr>
          <w:rFonts w:ascii="Calibri" w:eastAsia="Calibri" w:hAnsi="Calibri" w:cs="Calibri"/>
          <w:color w:val="1F3864" w:themeColor="accent1" w:themeShade="80"/>
        </w:rPr>
        <w:t xml:space="preserve"> a particular focus on COVID-19 prevention</w:t>
      </w:r>
      <w:r w:rsidR="00400819">
        <w:rPr>
          <w:rFonts w:ascii="Calibri" w:eastAsia="Calibri" w:hAnsi="Calibri" w:cs="Calibri"/>
          <w:color w:val="1F3864" w:themeColor="accent1" w:themeShade="80"/>
        </w:rPr>
        <w:t>, as well as good personal and household hygiene practices, and how to maintain water safety once it</w:t>
      </w:r>
      <w:r w:rsidR="00C668FF">
        <w:rPr>
          <w:rFonts w:ascii="Calibri" w:eastAsia="Calibri" w:hAnsi="Calibri" w:cs="Calibri"/>
          <w:color w:val="1F3864" w:themeColor="accent1" w:themeShade="80"/>
        </w:rPr>
        <w:t xml:space="preserve"> has been </w:t>
      </w:r>
      <w:r w:rsidR="00400819">
        <w:rPr>
          <w:rFonts w:ascii="Calibri" w:eastAsia="Calibri" w:hAnsi="Calibri" w:cs="Calibri"/>
          <w:color w:val="1F3864" w:themeColor="accent1" w:themeShade="80"/>
        </w:rPr>
        <w:t>collected from the water point (safe water chain process)</w:t>
      </w:r>
      <w:r w:rsidRPr="00735EC1">
        <w:rPr>
          <w:rFonts w:ascii="Calibri" w:eastAsia="Calibri" w:hAnsi="Calibri" w:cs="Calibri"/>
          <w:color w:val="1F3864" w:themeColor="accent1" w:themeShade="80"/>
        </w:rPr>
        <w:t>. The trained committee members then cascade</w:t>
      </w:r>
      <w:r w:rsidR="00400819">
        <w:rPr>
          <w:rFonts w:ascii="Calibri" w:eastAsia="Calibri" w:hAnsi="Calibri" w:cs="Calibri"/>
          <w:color w:val="1F3864" w:themeColor="accent1" w:themeShade="80"/>
        </w:rPr>
        <w:t>d</w:t>
      </w:r>
      <w:r w:rsidRPr="00735EC1">
        <w:rPr>
          <w:rFonts w:ascii="Calibri" w:eastAsia="Calibri" w:hAnsi="Calibri" w:cs="Calibri"/>
          <w:color w:val="1F3864" w:themeColor="accent1" w:themeShade="80"/>
        </w:rPr>
        <w:t xml:space="preserve"> their learning in their respective villages to approximately 3,500 community members. </w:t>
      </w:r>
    </w:p>
    <w:p w14:paraId="64830DA9" w14:textId="00603B7A" w:rsidR="004B188D"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color w:val="1F3864" w:themeColor="accent1" w:themeShade="80"/>
        </w:rPr>
        <w:t>(5) Sustainable water scheme management refresher training for seven Water User Association Committees</w:t>
      </w:r>
      <w:r w:rsidR="00400819">
        <w:rPr>
          <w:rFonts w:ascii="Calibri" w:eastAsia="Calibri" w:hAnsi="Calibri" w:cs="Calibri"/>
          <w:color w:val="1F3864" w:themeColor="accent1" w:themeShade="80"/>
        </w:rPr>
        <w:t>.</w:t>
      </w:r>
      <w:r w:rsidRPr="00735EC1">
        <w:rPr>
          <w:rFonts w:ascii="Calibri" w:eastAsia="Calibri" w:hAnsi="Calibri" w:cs="Calibri"/>
          <w:color w:val="1F3864" w:themeColor="accent1" w:themeShade="80"/>
        </w:rPr>
        <w:t xml:space="preserve"> Th</w:t>
      </w:r>
      <w:r w:rsidR="00400819">
        <w:rPr>
          <w:rFonts w:ascii="Calibri" w:eastAsia="Calibri" w:hAnsi="Calibri" w:cs="Calibri"/>
          <w:color w:val="1F3864" w:themeColor="accent1" w:themeShade="80"/>
        </w:rPr>
        <w:t xml:space="preserve">e </w:t>
      </w:r>
      <w:r w:rsidR="00C668FF">
        <w:rPr>
          <w:rFonts w:ascii="Calibri" w:eastAsia="Calibri" w:hAnsi="Calibri" w:cs="Calibri"/>
          <w:color w:val="1F3864" w:themeColor="accent1" w:themeShade="80"/>
        </w:rPr>
        <w:t xml:space="preserve">49 committee members attended </w:t>
      </w:r>
      <w:r w:rsidR="00400819">
        <w:rPr>
          <w:rFonts w:ascii="Calibri" w:eastAsia="Calibri" w:hAnsi="Calibri" w:cs="Calibri"/>
          <w:color w:val="1F3864" w:themeColor="accent1" w:themeShade="80"/>
        </w:rPr>
        <w:t>refresher training, which</w:t>
      </w:r>
      <w:r w:rsidRPr="00735EC1">
        <w:rPr>
          <w:rFonts w:ascii="Calibri" w:eastAsia="Calibri" w:hAnsi="Calibri" w:cs="Calibri"/>
          <w:color w:val="1F3864" w:themeColor="accent1" w:themeShade="80"/>
        </w:rPr>
        <w:t xml:space="preserve"> cover</w:t>
      </w:r>
      <w:r w:rsidR="00400819">
        <w:rPr>
          <w:rFonts w:ascii="Calibri" w:eastAsia="Calibri" w:hAnsi="Calibri" w:cs="Calibri"/>
          <w:color w:val="1F3864" w:themeColor="accent1" w:themeShade="80"/>
        </w:rPr>
        <w:t>ed</w:t>
      </w:r>
      <w:r w:rsidRPr="00735EC1">
        <w:rPr>
          <w:rFonts w:ascii="Calibri" w:eastAsia="Calibri" w:hAnsi="Calibri" w:cs="Calibri"/>
          <w:color w:val="1F3864" w:themeColor="accent1" w:themeShade="80"/>
        </w:rPr>
        <w:t xml:space="preserve"> governance procedures and processes in place for the Water User Association Committees and committee members’ roles and responsibilities in rela</w:t>
      </w:r>
      <w:r w:rsidR="00400819">
        <w:rPr>
          <w:rFonts w:ascii="Calibri" w:eastAsia="Calibri" w:hAnsi="Calibri" w:cs="Calibri"/>
          <w:color w:val="1F3864" w:themeColor="accent1" w:themeShade="80"/>
        </w:rPr>
        <w:t xml:space="preserve">tion to the water point. It </w:t>
      </w:r>
      <w:r w:rsidRPr="00735EC1">
        <w:rPr>
          <w:rFonts w:ascii="Calibri" w:eastAsia="Calibri" w:hAnsi="Calibri" w:cs="Calibri"/>
          <w:color w:val="1F3864" w:themeColor="accent1" w:themeShade="80"/>
        </w:rPr>
        <w:t>follow</w:t>
      </w:r>
      <w:r w:rsidR="00400819">
        <w:rPr>
          <w:rFonts w:ascii="Calibri" w:eastAsia="Calibri" w:hAnsi="Calibri" w:cs="Calibri"/>
          <w:color w:val="1F3864" w:themeColor="accent1" w:themeShade="80"/>
        </w:rPr>
        <w:t>ed</w:t>
      </w:r>
      <w:r w:rsidRPr="00735EC1">
        <w:rPr>
          <w:rFonts w:ascii="Calibri" w:eastAsia="Calibri" w:hAnsi="Calibri" w:cs="Calibri"/>
          <w:color w:val="1F3864" w:themeColor="accent1" w:themeShade="80"/>
        </w:rPr>
        <w:t xml:space="preserve"> up on previous training on carrying out minor repairs to the water points without the need for external assistance. This </w:t>
      </w:r>
      <w:r w:rsidR="00400819">
        <w:rPr>
          <w:rFonts w:ascii="Calibri" w:eastAsia="Calibri" w:hAnsi="Calibri" w:cs="Calibri"/>
          <w:color w:val="1F3864" w:themeColor="accent1" w:themeShade="80"/>
        </w:rPr>
        <w:t>is helping</w:t>
      </w:r>
      <w:r w:rsidRPr="00735EC1">
        <w:rPr>
          <w:rFonts w:ascii="Calibri" w:eastAsia="Calibri" w:hAnsi="Calibri" w:cs="Calibri"/>
          <w:color w:val="1F3864" w:themeColor="accent1" w:themeShade="80"/>
        </w:rPr>
        <w:t xml:space="preserve"> to safeguard sustainable, continuous access to clean water all year round. </w:t>
      </w:r>
    </w:p>
    <w:p w14:paraId="6AEF2E9C" w14:textId="0ECFD154" w:rsidR="004B188D" w:rsidRDefault="6095A422" w:rsidP="00A60900">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color w:val="1F3864" w:themeColor="accent1" w:themeShade="80"/>
        </w:rPr>
        <w:t xml:space="preserve">(6) </w:t>
      </w:r>
      <w:r w:rsidR="00400819">
        <w:rPr>
          <w:rFonts w:ascii="Calibri" w:eastAsia="Calibri" w:hAnsi="Calibri" w:cs="Calibri"/>
          <w:color w:val="1F3864" w:themeColor="accent1" w:themeShade="80"/>
        </w:rPr>
        <w:t xml:space="preserve">A </w:t>
      </w:r>
      <w:r w:rsidRPr="00735EC1">
        <w:rPr>
          <w:rFonts w:ascii="Calibri" w:eastAsia="Calibri" w:hAnsi="Calibri" w:cs="Calibri"/>
          <w:color w:val="1F3864" w:themeColor="accent1" w:themeShade="80"/>
        </w:rPr>
        <w:t>tailored monitoring and evaluation system</w:t>
      </w:r>
      <w:r w:rsidR="00400819">
        <w:rPr>
          <w:rFonts w:ascii="Calibri" w:eastAsia="Calibri" w:hAnsi="Calibri" w:cs="Calibri"/>
          <w:color w:val="1F3864" w:themeColor="accent1" w:themeShade="80"/>
        </w:rPr>
        <w:t xml:space="preserve"> was e</w:t>
      </w:r>
      <w:r w:rsidR="00400819" w:rsidRPr="00735EC1">
        <w:rPr>
          <w:rFonts w:ascii="Calibri" w:eastAsia="Calibri" w:hAnsi="Calibri" w:cs="Calibri"/>
          <w:color w:val="1F3864" w:themeColor="accent1" w:themeShade="80"/>
        </w:rPr>
        <w:t>stablish</w:t>
      </w:r>
      <w:r w:rsidR="00400819">
        <w:rPr>
          <w:rFonts w:ascii="Calibri" w:eastAsia="Calibri" w:hAnsi="Calibri" w:cs="Calibri"/>
          <w:color w:val="1F3864" w:themeColor="accent1" w:themeShade="80"/>
        </w:rPr>
        <w:t>ed</w:t>
      </w:r>
      <w:r w:rsidRPr="00735EC1">
        <w:rPr>
          <w:rFonts w:ascii="Calibri" w:eastAsia="Calibri" w:hAnsi="Calibri" w:cs="Calibri"/>
          <w:color w:val="1F3864" w:themeColor="accent1" w:themeShade="80"/>
        </w:rPr>
        <w:t>: Vita</w:t>
      </w:r>
      <w:r w:rsidR="00400819">
        <w:rPr>
          <w:rFonts w:ascii="Calibri" w:eastAsia="Calibri" w:hAnsi="Calibri" w:cs="Calibri"/>
          <w:color w:val="1F3864" w:themeColor="accent1" w:themeShade="80"/>
        </w:rPr>
        <w:t>’s</w:t>
      </w:r>
      <w:r w:rsidRPr="00735EC1">
        <w:rPr>
          <w:rFonts w:ascii="Calibri" w:eastAsia="Calibri" w:hAnsi="Calibri" w:cs="Calibri"/>
          <w:color w:val="1F3864" w:themeColor="accent1" w:themeShade="80"/>
        </w:rPr>
        <w:t xml:space="preserve"> existing monitoring and evaluation system w</w:t>
      </w:r>
      <w:r w:rsidR="00400819">
        <w:rPr>
          <w:rFonts w:ascii="Calibri" w:eastAsia="Calibri" w:hAnsi="Calibri" w:cs="Calibri"/>
          <w:color w:val="1F3864" w:themeColor="accent1" w:themeShade="80"/>
        </w:rPr>
        <w:t>as</w:t>
      </w:r>
      <w:r w:rsidRPr="00735EC1">
        <w:rPr>
          <w:rFonts w:ascii="Calibri" w:eastAsia="Calibri" w:hAnsi="Calibri" w:cs="Calibri"/>
          <w:color w:val="1F3864" w:themeColor="accent1" w:themeShade="80"/>
        </w:rPr>
        <w:t xml:space="preserve"> strengthened for successful implementation of the project</w:t>
      </w:r>
      <w:r w:rsidR="00A60900">
        <w:rPr>
          <w:rFonts w:ascii="Calibri" w:eastAsia="Calibri" w:hAnsi="Calibri" w:cs="Calibri"/>
          <w:color w:val="1F3864" w:themeColor="accent1" w:themeShade="80"/>
        </w:rPr>
        <w:t>.</w:t>
      </w:r>
      <w:r w:rsidRPr="00735EC1">
        <w:rPr>
          <w:rFonts w:ascii="Calibri" w:eastAsia="Calibri" w:hAnsi="Calibri" w:cs="Calibri"/>
          <w:color w:val="1F3864" w:themeColor="accent1" w:themeShade="80"/>
        </w:rPr>
        <w:t xml:space="preserve"> </w:t>
      </w:r>
    </w:p>
    <w:p w14:paraId="548863BB" w14:textId="0673F856" w:rsidR="004B188D" w:rsidRPr="00A60900" w:rsidRDefault="00DA1FB2" w:rsidP="6095A422">
      <w:pPr>
        <w:spacing w:after="120" w:line="276" w:lineRule="auto"/>
        <w:jc w:val="both"/>
        <w:rPr>
          <w:rFonts w:ascii="Calibri" w:eastAsia="Calibri" w:hAnsi="Calibri" w:cs="Calibri"/>
          <w:color w:val="1F3864" w:themeColor="accent1" w:themeShade="80"/>
          <w:sz w:val="24"/>
          <w:szCs w:val="24"/>
        </w:rPr>
      </w:pPr>
      <w:r>
        <w:rPr>
          <w:rFonts w:eastAsiaTheme="minorEastAsia"/>
          <w:noProof/>
          <w:color w:val="4472C4" w:themeColor="accent1"/>
          <w:sz w:val="24"/>
          <w:szCs w:val="24"/>
          <w:lang w:val="en-IE" w:eastAsia="en-IE"/>
        </w:rPr>
        <w:drawing>
          <wp:anchor distT="0" distB="0" distL="114300" distR="114300" simplePos="0" relativeHeight="251658240" behindDoc="0" locked="0" layoutInCell="1" allowOverlap="1" wp14:anchorId="338DAAC8" wp14:editId="6E6DD43C">
            <wp:simplePos x="0" y="0"/>
            <wp:positionH relativeFrom="column">
              <wp:posOffset>0</wp:posOffset>
            </wp:positionH>
            <wp:positionV relativeFrom="paragraph">
              <wp:posOffset>0</wp:posOffset>
            </wp:positionV>
            <wp:extent cx="3274695" cy="3274695"/>
            <wp:effectExtent l="0" t="0" r="1905"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GIF-05-019.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3274695" cy="3274695"/>
                    </a:xfrm>
                    <a:prstGeom prst="rect">
                      <a:avLst/>
                    </a:prstGeom>
                  </pic:spPr>
                </pic:pic>
              </a:graphicData>
            </a:graphic>
          </wp:anchor>
        </w:drawing>
      </w:r>
      <w:r w:rsidR="6095A422" w:rsidRPr="00A60900">
        <w:rPr>
          <w:rFonts w:ascii="Calibri" w:eastAsia="Calibri" w:hAnsi="Calibri" w:cs="Calibri"/>
          <w:b/>
          <w:bCs/>
          <w:color w:val="1F3864" w:themeColor="accent1" w:themeShade="80"/>
          <w:sz w:val="24"/>
          <w:szCs w:val="24"/>
        </w:rPr>
        <w:t>Project Impact</w:t>
      </w:r>
    </w:p>
    <w:p w14:paraId="3A365AC3" w14:textId="2899F1A1" w:rsidR="004B188D" w:rsidRDefault="6095A422" w:rsidP="00C36799">
      <w:pPr>
        <w:spacing w:beforeAutospacing="1" w:after="120" w:afterAutospacing="1" w:line="276" w:lineRule="auto"/>
        <w:jc w:val="both"/>
        <w:rPr>
          <w:color w:val="1F3864" w:themeColor="accent1" w:themeShade="80"/>
        </w:rPr>
      </w:pPr>
      <w:r w:rsidRPr="00735EC1">
        <w:rPr>
          <w:rStyle w:val="normaltextrun"/>
          <w:rFonts w:ascii="Calibri" w:eastAsia="Calibri" w:hAnsi="Calibri" w:cs="Calibri"/>
          <w:color w:val="1F3864" w:themeColor="accent1" w:themeShade="80"/>
          <w:lang w:val="en-IE"/>
        </w:rPr>
        <w:t xml:space="preserve">By ensuring the full functionality of community water points and bolstering community hygiene knowledge and practice, the project </w:t>
      </w:r>
      <w:r w:rsidR="0081447C" w:rsidRPr="00735EC1">
        <w:rPr>
          <w:rStyle w:val="normaltextrun"/>
          <w:rFonts w:ascii="Calibri" w:eastAsia="Calibri" w:hAnsi="Calibri" w:cs="Calibri"/>
          <w:color w:val="1F3864" w:themeColor="accent1" w:themeShade="80"/>
          <w:lang w:val="en-IE"/>
        </w:rPr>
        <w:t>delivered</w:t>
      </w:r>
      <w:r w:rsidRPr="00735EC1">
        <w:rPr>
          <w:rStyle w:val="normaltextrun"/>
          <w:rFonts w:ascii="Calibri" w:eastAsia="Calibri" w:hAnsi="Calibri" w:cs="Calibri"/>
          <w:color w:val="1F3864" w:themeColor="accent1" w:themeShade="80"/>
          <w:lang w:val="en-IE"/>
        </w:rPr>
        <w:t xml:space="preserve"> the following benefits: </w:t>
      </w:r>
      <w:r w:rsidRPr="00735EC1">
        <w:rPr>
          <w:color w:val="1F3864" w:themeColor="accent1" w:themeShade="80"/>
        </w:rPr>
        <w:t xml:space="preserve"> </w:t>
      </w:r>
    </w:p>
    <w:p w14:paraId="15714FD3" w14:textId="6B028353" w:rsidR="00A60900" w:rsidRPr="00A60900" w:rsidRDefault="00A60900" w:rsidP="00C36799">
      <w:pPr>
        <w:pStyle w:val="ListParagraph"/>
        <w:numPr>
          <w:ilvl w:val="0"/>
          <w:numId w:val="1"/>
        </w:numPr>
        <w:jc w:val="both"/>
        <w:rPr>
          <w:rFonts w:eastAsiaTheme="minorEastAsia"/>
          <w:color w:val="1F3864" w:themeColor="accent1" w:themeShade="80"/>
        </w:rPr>
      </w:pPr>
      <w:r w:rsidRPr="00A60900">
        <w:rPr>
          <w:rFonts w:eastAsia="Arial" w:cstheme="minorHAnsi"/>
          <w:b/>
          <w:color w:val="1F3864" w:themeColor="accent1" w:themeShade="80"/>
        </w:rPr>
        <w:t xml:space="preserve">100% </w:t>
      </w:r>
      <w:r w:rsidR="00C668FF">
        <w:rPr>
          <w:rFonts w:eastAsia="Arial" w:cstheme="minorHAnsi"/>
          <w:b/>
          <w:color w:val="1F3864" w:themeColor="accent1" w:themeShade="80"/>
        </w:rPr>
        <w:t xml:space="preserve">of </w:t>
      </w:r>
      <w:r w:rsidRPr="00A60900">
        <w:rPr>
          <w:rFonts w:eastAsia="Arial" w:cstheme="minorHAnsi"/>
          <w:b/>
          <w:color w:val="1F3864" w:themeColor="accent1" w:themeShade="80"/>
        </w:rPr>
        <w:t>households in the seven villages are accessing sufficient safe water for all household needs:</w:t>
      </w:r>
      <w:r w:rsidRPr="00A60900">
        <w:rPr>
          <w:rFonts w:eastAsia="Arial" w:cstheme="minorHAnsi"/>
          <w:color w:val="1F3864" w:themeColor="accent1" w:themeShade="80"/>
        </w:rPr>
        <w:t xml:space="preserve"> Safe water is accessible close to people’s homes. The maximum water time it takes to fetch is a 30-minute round trip from their homestead</w:t>
      </w:r>
      <w:r w:rsidRPr="00A60900">
        <w:rPr>
          <w:b/>
          <w:color w:val="1F3864" w:themeColor="accent1" w:themeShade="80"/>
        </w:rPr>
        <w:t>.</w:t>
      </w:r>
    </w:p>
    <w:p w14:paraId="37100E6C" w14:textId="7F214B3B" w:rsidR="00A60900" w:rsidRPr="00735EC1" w:rsidRDefault="00A60900" w:rsidP="00C36799">
      <w:pPr>
        <w:pStyle w:val="ListParagraph"/>
        <w:numPr>
          <w:ilvl w:val="0"/>
          <w:numId w:val="1"/>
        </w:numPr>
        <w:jc w:val="both"/>
        <w:rPr>
          <w:rFonts w:eastAsiaTheme="minorEastAsia"/>
          <w:color w:val="1F3864" w:themeColor="accent1" w:themeShade="80"/>
        </w:rPr>
      </w:pPr>
      <w:r>
        <w:rPr>
          <w:b/>
          <w:color w:val="1F3864" w:themeColor="accent1" w:themeShade="80"/>
        </w:rPr>
        <w:t>3,500 community members are sustaining g</w:t>
      </w:r>
      <w:r w:rsidRPr="00735EC1">
        <w:rPr>
          <w:b/>
          <w:color w:val="1F3864" w:themeColor="accent1" w:themeShade="80"/>
        </w:rPr>
        <w:t>ood health outcomes:</w:t>
      </w:r>
      <w:r w:rsidRPr="00735EC1">
        <w:rPr>
          <w:color w:val="1F3864" w:themeColor="accent1" w:themeShade="80"/>
        </w:rPr>
        <w:t xml:space="preserve"> Before their local water points were rehabilitated, these communities had been collecting water fro</w:t>
      </w:r>
      <w:r w:rsidR="00C36799">
        <w:rPr>
          <w:color w:val="1F3864" w:themeColor="accent1" w:themeShade="80"/>
        </w:rPr>
        <w:t xml:space="preserve">m contaminated, unsafe sources, </w:t>
      </w:r>
      <w:r w:rsidRPr="00735EC1">
        <w:rPr>
          <w:color w:val="1F3864" w:themeColor="accent1" w:themeShade="80"/>
        </w:rPr>
        <w:t xml:space="preserve">greatly increasing exposure to water-related disease and infection – a major contributor to deaths of children under five years of age in Ethiopia. By carrying out the required maintenance work on seven water points, this project enabled 700 families prevented people from returning to their former, unsafe water sources. </w:t>
      </w:r>
      <w:r>
        <w:rPr>
          <w:color w:val="1F3864" w:themeColor="accent1" w:themeShade="80"/>
        </w:rPr>
        <w:t>C</w:t>
      </w:r>
      <w:r w:rsidRPr="00735EC1">
        <w:rPr>
          <w:color w:val="1F3864" w:themeColor="accent1" w:themeShade="80"/>
        </w:rPr>
        <w:t xml:space="preserve">ontinued access to clean water helped 3,500 people retain the </w:t>
      </w:r>
      <w:r w:rsidRPr="00735EC1">
        <w:rPr>
          <w:color w:val="1F3864" w:themeColor="accent1" w:themeShade="80"/>
        </w:rPr>
        <w:lastRenderedPageBreak/>
        <w:t xml:space="preserve">low incidence of water-borne disease and infection among households. An evaluation that included the seven project villages found that reported prevalence of </w:t>
      </w:r>
      <w:proofErr w:type="spellStart"/>
      <w:r w:rsidRPr="00735EC1">
        <w:rPr>
          <w:color w:val="1F3864" w:themeColor="accent1" w:themeShade="80"/>
        </w:rPr>
        <w:t>diarrhoea</w:t>
      </w:r>
      <w:proofErr w:type="spellEnd"/>
      <w:r w:rsidRPr="00735EC1">
        <w:rPr>
          <w:color w:val="1F3864" w:themeColor="accent1" w:themeShade="80"/>
        </w:rPr>
        <w:t xml:space="preserve"> among communities (including all household members) where water points have been repaired and maintained decreased by 82% within the previous six months.</w:t>
      </w:r>
      <w:r w:rsidRPr="00735EC1">
        <w:rPr>
          <w:rStyle w:val="FootnoteReference"/>
          <w:color w:val="1F3864" w:themeColor="accent1" w:themeShade="80"/>
        </w:rPr>
        <w:footnoteReference w:id="1"/>
      </w:r>
    </w:p>
    <w:p w14:paraId="6D3DD33E" w14:textId="77777777" w:rsidR="00F44762" w:rsidRDefault="00A60900" w:rsidP="00F44762">
      <w:pPr>
        <w:pStyle w:val="ListParagraph"/>
        <w:numPr>
          <w:ilvl w:val="0"/>
          <w:numId w:val="1"/>
        </w:numPr>
        <w:rPr>
          <w:color w:val="1F3864" w:themeColor="accent1" w:themeShade="80"/>
        </w:rPr>
      </w:pPr>
      <w:r w:rsidRPr="00735EC1">
        <w:rPr>
          <w:b/>
          <w:color w:val="1F3864" w:themeColor="accent1" w:themeShade="80"/>
        </w:rPr>
        <w:t>Improved household hygiene</w:t>
      </w:r>
      <w:r w:rsidRPr="00735EC1">
        <w:rPr>
          <w:color w:val="1F3864" w:themeColor="accent1" w:themeShade="80"/>
        </w:rPr>
        <w:t xml:space="preserve">: </w:t>
      </w:r>
      <w:r>
        <w:rPr>
          <w:color w:val="1F3864" w:themeColor="accent1" w:themeShade="80"/>
        </w:rPr>
        <w:t xml:space="preserve">Vita’s experience </w:t>
      </w:r>
      <w:r w:rsidRPr="00735EC1">
        <w:rPr>
          <w:color w:val="1F3864" w:themeColor="accent1" w:themeShade="80"/>
        </w:rPr>
        <w:t>of previous water point repair projects indicates that the benefits of having sufficient water for household hygiene needs not only contributes to improved health – maintaining a neat and tidy appearance is a cornerstone of pride and dignity in any context, and being able to ensure a clean and neat appearance at school, functions and in business is recognized by beneficiaries as a major benefit of having access to safe water in their community.  At the time of evaluation, 70% of households reported consistent use of handwashing at critical times and had soap and water for at handwashing stations (i.e. outside latrines) at time of the monitoring visit. This was an increase from 38% of households 6 months earlier.</w:t>
      </w:r>
      <w:r w:rsidRPr="00735EC1">
        <w:rPr>
          <w:rStyle w:val="FootnoteReference"/>
          <w:color w:val="1F3864" w:themeColor="accent1" w:themeShade="80"/>
        </w:rPr>
        <w:footnoteReference w:id="2"/>
      </w:r>
    </w:p>
    <w:p w14:paraId="47EC3B3A" w14:textId="2E361E86" w:rsidR="00A60900" w:rsidRPr="00F44762" w:rsidRDefault="00A60900" w:rsidP="00F44762">
      <w:pPr>
        <w:pStyle w:val="ListParagraph"/>
        <w:numPr>
          <w:ilvl w:val="0"/>
          <w:numId w:val="1"/>
        </w:numPr>
        <w:rPr>
          <w:color w:val="1F3864" w:themeColor="accent1" w:themeShade="80"/>
        </w:rPr>
      </w:pPr>
      <w:r w:rsidRPr="00F44762">
        <w:rPr>
          <w:rFonts w:cstheme="minorHAnsi"/>
          <w:b/>
          <w:color w:val="1F3864" w:themeColor="accent1" w:themeShade="80"/>
        </w:rPr>
        <w:t>Reduced time-burden on women and girls</w:t>
      </w:r>
      <w:r w:rsidRPr="00F44762">
        <w:rPr>
          <w:rFonts w:cstheme="minorHAnsi"/>
          <w:color w:val="1F3864" w:themeColor="accent1" w:themeShade="80"/>
        </w:rPr>
        <w:t xml:space="preserve">: In Ethiopia, the task of collecting water for the household falls overwhelmingly to women and girls, often spending several hours per day travelling long distances with heavy loads. The water points maintained by this project are a maximum of 15-minutes walking distance from the furthest home. This provides the community with access to safe water within a 30-minute round trip per collection. This frees up time to be spent on other activities – such as income generation, school attendance, civic participation or simply relaxing. </w:t>
      </w:r>
      <w:r w:rsidRPr="00F44762">
        <w:rPr>
          <w:rFonts w:eastAsia="Arial" w:cstheme="minorHAnsi"/>
          <w:color w:val="1F3864" w:themeColor="accent1" w:themeShade="80"/>
        </w:rPr>
        <w:t>Maximum safe water collection time now takes a maximum of 30 minutes per round trip, compared to a maximum 4-hour round trip pre-project.</w:t>
      </w:r>
    </w:p>
    <w:p w14:paraId="3F834E7E" w14:textId="7F660FC8" w:rsidR="004B188D" w:rsidRPr="00DA1FB2" w:rsidRDefault="00A60900" w:rsidP="00DA1FB2">
      <w:pPr>
        <w:pStyle w:val="ListParagraph"/>
        <w:numPr>
          <w:ilvl w:val="0"/>
          <w:numId w:val="1"/>
        </w:numPr>
        <w:rPr>
          <w:rFonts w:ascii="Calibri" w:eastAsia="Calibri" w:hAnsi="Calibri" w:cs="Calibri"/>
          <w:color w:val="1F3864" w:themeColor="accent1" w:themeShade="80"/>
          <w:sz w:val="24"/>
          <w:szCs w:val="24"/>
          <w:lang w:val="en-IE"/>
        </w:rPr>
      </w:pPr>
      <w:r w:rsidRPr="00F44762">
        <w:rPr>
          <w:b/>
          <w:color w:val="1F3864" w:themeColor="accent1" w:themeShade="80"/>
        </w:rPr>
        <w:t xml:space="preserve">Carbon emissions reduced and </w:t>
      </w:r>
      <w:r w:rsidR="00F44762" w:rsidRPr="00F44762">
        <w:rPr>
          <w:b/>
          <w:color w:val="1F3864" w:themeColor="accent1" w:themeShade="80"/>
        </w:rPr>
        <w:t xml:space="preserve">natural </w:t>
      </w:r>
      <w:r w:rsidRPr="00F44762">
        <w:rPr>
          <w:b/>
          <w:color w:val="1F3864" w:themeColor="accent1" w:themeShade="80"/>
        </w:rPr>
        <w:t xml:space="preserve">environment </w:t>
      </w:r>
      <w:r w:rsidR="00F44762" w:rsidRPr="00F44762">
        <w:rPr>
          <w:b/>
          <w:color w:val="1F3864" w:themeColor="accent1" w:themeShade="80"/>
        </w:rPr>
        <w:t>protected</w:t>
      </w:r>
      <w:r w:rsidRPr="00735EC1">
        <w:rPr>
          <w:color w:val="1F3864" w:themeColor="accent1" w:themeShade="80"/>
        </w:rPr>
        <w:t xml:space="preserve">: In scenarios where community members are collecting water for consumption from unsafe, unprotected sources such as ponds and rivers, it is necessary to purify their water before drinking – in rural Ethiopia, this overwhelmingly means boiling water. </w:t>
      </w:r>
      <w:r>
        <w:rPr>
          <w:color w:val="1F3864" w:themeColor="accent1" w:themeShade="80"/>
        </w:rPr>
        <w:t>By maintaining the seven water points this project has r</w:t>
      </w:r>
      <w:r w:rsidRPr="00735EC1">
        <w:rPr>
          <w:color w:val="1F3864" w:themeColor="accent1" w:themeShade="80"/>
        </w:rPr>
        <w:t>emov</w:t>
      </w:r>
      <w:r>
        <w:rPr>
          <w:color w:val="1F3864" w:themeColor="accent1" w:themeShade="80"/>
        </w:rPr>
        <w:t>ed</w:t>
      </w:r>
      <w:r w:rsidRPr="00735EC1">
        <w:rPr>
          <w:color w:val="1F3864" w:themeColor="accent1" w:themeShade="80"/>
        </w:rPr>
        <w:t xml:space="preserve"> this need</w:t>
      </w:r>
      <w:r>
        <w:rPr>
          <w:color w:val="1F3864" w:themeColor="accent1" w:themeShade="80"/>
        </w:rPr>
        <w:t xml:space="preserve">. This has saved thousands of tonnes of carbon and methane emissions from being released into the atmosphere. It has also decreased air pollution in the household and protected women and children from being exposed </w:t>
      </w:r>
      <w:r w:rsidR="00F44762">
        <w:rPr>
          <w:color w:val="1F3864" w:themeColor="accent1" w:themeShade="80"/>
        </w:rPr>
        <w:t xml:space="preserve">to dangerous concentrations of </w:t>
      </w:r>
      <w:r w:rsidR="00F44762" w:rsidRPr="00F44762">
        <w:rPr>
          <w:color w:val="1F3864" w:themeColor="accent1" w:themeShade="80"/>
        </w:rPr>
        <w:t>particulate</w:t>
      </w:r>
      <w:r>
        <w:rPr>
          <w:color w:val="1F3864" w:themeColor="accent1" w:themeShade="80"/>
        </w:rPr>
        <w:t xml:space="preserve"> matter.</w:t>
      </w:r>
      <w:r w:rsidRPr="00735EC1">
        <w:rPr>
          <w:color w:val="1F3864" w:themeColor="accent1" w:themeShade="80"/>
        </w:rPr>
        <w:t xml:space="preserve"> </w:t>
      </w:r>
      <w:r w:rsidR="00F44762">
        <w:rPr>
          <w:color w:val="1F3864" w:themeColor="accent1" w:themeShade="80"/>
        </w:rPr>
        <w:t xml:space="preserve">Finally, it has saved many tonnes of firewood from cut and burned to boil water. This is helping to </w:t>
      </w:r>
      <w:r w:rsidRPr="00735EC1">
        <w:rPr>
          <w:color w:val="1F3864" w:themeColor="accent1" w:themeShade="80"/>
        </w:rPr>
        <w:t>ensure</w:t>
      </w:r>
      <w:r w:rsidR="00F44762">
        <w:rPr>
          <w:color w:val="1F3864" w:themeColor="accent1" w:themeShade="80"/>
        </w:rPr>
        <w:t xml:space="preserve"> that</w:t>
      </w:r>
      <w:r w:rsidRPr="00735EC1">
        <w:rPr>
          <w:color w:val="1F3864" w:themeColor="accent1" w:themeShade="80"/>
        </w:rPr>
        <w:t xml:space="preserve"> forest resources can be managed more sustainably. Ensuring continued access to clean water </w:t>
      </w:r>
      <w:r w:rsidR="00F44762">
        <w:rPr>
          <w:color w:val="1F3864" w:themeColor="accent1" w:themeShade="80"/>
        </w:rPr>
        <w:t xml:space="preserve">is </w:t>
      </w:r>
      <w:r w:rsidRPr="00735EC1">
        <w:rPr>
          <w:color w:val="1F3864" w:themeColor="accent1" w:themeShade="80"/>
        </w:rPr>
        <w:t>help</w:t>
      </w:r>
      <w:r w:rsidR="00F44762">
        <w:rPr>
          <w:color w:val="1F3864" w:themeColor="accent1" w:themeShade="80"/>
        </w:rPr>
        <w:t>ing</w:t>
      </w:r>
      <w:r w:rsidRPr="00735EC1">
        <w:rPr>
          <w:color w:val="1F3864" w:themeColor="accent1" w:themeShade="80"/>
        </w:rPr>
        <w:t xml:space="preserve"> to preserve the benefits that trees provide for the livelihoods of rural committees.  </w:t>
      </w:r>
    </w:p>
    <w:p w14:paraId="09786C29" w14:textId="77777777" w:rsidR="00DA1FB2" w:rsidRPr="00735EC1" w:rsidRDefault="00DA1FB2" w:rsidP="00DA1FB2">
      <w:pPr>
        <w:pStyle w:val="ListParagraph"/>
        <w:rPr>
          <w:rStyle w:val="normaltextrun"/>
          <w:rFonts w:ascii="Calibri" w:eastAsia="Calibri" w:hAnsi="Calibri" w:cs="Calibri"/>
          <w:color w:val="1F3864" w:themeColor="accent1" w:themeShade="80"/>
          <w:sz w:val="24"/>
          <w:szCs w:val="24"/>
          <w:lang w:val="en-IE"/>
        </w:rPr>
      </w:pPr>
    </w:p>
    <w:p w14:paraId="1BAE3591" w14:textId="03F58813" w:rsidR="004B188D" w:rsidRPr="00D92C69" w:rsidRDefault="6095A422" w:rsidP="6095A422">
      <w:pPr>
        <w:spacing w:after="120" w:line="276" w:lineRule="auto"/>
        <w:jc w:val="both"/>
        <w:rPr>
          <w:rFonts w:ascii="Calibri" w:eastAsia="Calibri" w:hAnsi="Calibri" w:cs="Calibri"/>
          <w:color w:val="1F3864" w:themeColor="accent1" w:themeShade="80"/>
          <w:sz w:val="24"/>
          <w:szCs w:val="24"/>
        </w:rPr>
      </w:pPr>
      <w:r w:rsidRPr="00D92C69">
        <w:rPr>
          <w:rFonts w:ascii="Calibri" w:eastAsia="Calibri" w:hAnsi="Calibri" w:cs="Calibri"/>
          <w:b/>
          <w:bCs/>
          <w:color w:val="1F3864" w:themeColor="accent1" w:themeShade="80"/>
          <w:sz w:val="24"/>
          <w:szCs w:val="24"/>
        </w:rPr>
        <w:t>Impact Case Studies</w:t>
      </w:r>
    </w:p>
    <w:p w14:paraId="3F63A2C7" w14:textId="079CBA0C" w:rsidR="004B188D" w:rsidRPr="00D92C69" w:rsidRDefault="6095A422" w:rsidP="6095A422">
      <w:pPr>
        <w:spacing w:after="120" w:line="276" w:lineRule="auto"/>
        <w:jc w:val="both"/>
        <w:rPr>
          <w:rFonts w:ascii="Calibri" w:eastAsia="Calibri" w:hAnsi="Calibri" w:cs="Calibri"/>
          <w:color w:val="1F3864" w:themeColor="accent1" w:themeShade="80"/>
          <w:lang w:val="en-GB"/>
        </w:rPr>
      </w:pPr>
      <w:r w:rsidRPr="00D92C69">
        <w:rPr>
          <w:rFonts w:ascii="Calibri" w:eastAsia="Calibri" w:hAnsi="Calibri" w:cs="Calibri"/>
          <w:color w:val="1F3864" w:themeColor="accent1" w:themeShade="80"/>
          <w:lang w:val="en-GB"/>
        </w:rPr>
        <w:t xml:space="preserve">The following case study aptly demonstrates the </w:t>
      </w:r>
      <w:r w:rsidRPr="00D92C69">
        <w:rPr>
          <w:rFonts w:ascii="Calibri" w:eastAsia="Calibri" w:hAnsi="Calibri" w:cs="Calibri"/>
          <w:color w:val="1F3864" w:themeColor="accent1" w:themeShade="80"/>
        </w:rPr>
        <w:t>impact</w:t>
      </w:r>
      <w:r w:rsidRPr="00D92C69">
        <w:rPr>
          <w:rFonts w:ascii="Calibri" w:eastAsia="Calibri" w:hAnsi="Calibri" w:cs="Calibri"/>
          <w:color w:val="1F3864" w:themeColor="accent1" w:themeShade="80"/>
          <w:lang w:val="en-GB"/>
        </w:rPr>
        <w:t xml:space="preserve"> of the project as the beneficiary communities perceive them:</w:t>
      </w:r>
    </w:p>
    <w:p w14:paraId="68723FEF" w14:textId="0D3EEABD" w:rsidR="00F44762" w:rsidRPr="00DA1FB2" w:rsidRDefault="00F44762" w:rsidP="00F44762">
      <w:pPr>
        <w:jc w:val="both"/>
        <w:rPr>
          <w:rFonts w:cstheme="minorHAnsi"/>
          <w:color w:val="1F3864" w:themeColor="accent1" w:themeShade="80"/>
        </w:rPr>
      </w:pPr>
      <w:r w:rsidRPr="00DA1FB2">
        <w:rPr>
          <w:rFonts w:cstheme="minorHAnsi"/>
          <w:color w:val="1F3864" w:themeColor="accent1" w:themeShade="80"/>
        </w:rPr>
        <w:t>W/</w:t>
      </w:r>
      <w:proofErr w:type="spellStart"/>
      <w:r w:rsidRPr="00DA1FB2">
        <w:rPr>
          <w:rFonts w:cstheme="minorHAnsi"/>
          <w:color w:val="1F3864" w:themeColor="accent1" w:themeShade="80"/>
        </w:rPr>
        <w:t>ro</w:t>
      </w:r>
      <w:proofErr w:type="spellEnd"/>
      <w:r w:rsidRPr="00DA1FB2">
        <w:rPr>
          <w:rFonts w:cstheme="minorHAnsi"/>
          <w:color w:val="1F3864" w:themeColor="accent1" w:themeShade="80"/>
        </w:rPr>
        <w:t xml:space="preserve"> </w:t>
      </w:r>
      <w:proofErr w:type="spellStart"/>
      <w:r w:rsidRPr="00DA1FB2">
        <w:rPr>
          <w:rFonts w:cstheme="minorHAnsi"/>
          <w:color w:val="1F3864" w:themeColor="accent1" w:themeShade="80"/>
        </w:rPr>
        <w:t>Enanye</w:t>
      </w:r>
      <w:proofErr w:type="spellEnd"/>
      <w:r w:rsidRPr="00DA1FB2">
        <w:rPr>
          <w:rFonts w:cstheme="minorHAnsi"/>
          <w:color w:val="1F3864" w:themeColor="accent1" w:themeShade="80"/>
        </w:rPr>
        <w:t xml:space="preserve"> </w:t>
      </w:r>
      <w:proofErr w:type="spellStart"/>
      <w:r w:rsidRPr="00DA1FB2">
        <w:rPr>
          <w:rFonts w:cstheme="minorHAnsi"/>
          <w:color w:val="1F3864" w:themeColor="accent1" w:themeShade="80"/>
        </w:rPr>
        <w:t>Kassaye</w:t>
      </w:r>
      <w:proofErr w:type="spellEnd"/>
      <w:r w:rsidRPr="00DA1FB2">
        <w:rPr>
          <w:rFonts w:cstheme="minorHAnsi"/>
          <w:color w:val="1F3864" w:themeColor="accent1" w:themeShade="80"/>
        </w:rPr>
        <w:t xml:space="preserve">, a 35- year old mother of three remembers her family’s struggles before the water point in her village was repaired and talks about the impact that accessible clean water is having:  </w:t>
      </w:r>
    </w:p>
    <w:p w14:paraId="020BB288" w14:textId="545799C8" w:rsidR="00F44762" w:rsidRPr="00DA1FB2" w:rsidRDefault="00F44762" w:rsidP="00F44762">
      <w:pPr>
        <w:jc w:val="both"/>
        <w:rPr>
          <w:rFonts w:cstheme="minorHAnsi"/>
          <w:color w:val="1F3864" w:themeColor="accent1" w:themeShade="80"/>
        </w:rPr>
      </w:pPr>
      <w:r w:rsidRPr="00DA1FB2">
        <w:rPr>
          <w:rFonts w:cstheme="minorHAnsi"/>
          <w:color w:val="1F3864" w:themeColor="accent1" w:themeShade="80"/>
        </w:rPr>
        <w:lastRenderedPageBreak/>
        <w:t xml:space="preserve">"My daughter used to miss school as she accompanied me to fetch water, </w:t>
      </w:r>
      <w:r w:rsidR="00C36799">
        <w:rPr>
          <w:rFonts w:cstheme="minorHAnsi"/>
          <w:color w:val="1F3864" w:themeColor="accent1" w:themeShade="80"/>
        </w:rPr>
        <w:t xml:space="preserve">to help carry it,” says </w:t>
      </w:r>
      <w:proofErr w:type="spellStart"/>
      <w:r w:rsidR="00C36799">
        <w:rPr>
          <w:rFonts w:cstheme="minorHAnsi"/>
          <w:color w:val="1F3864" w:themeColor="accent1" w:themeShade="80"/>
        </w:rPr>
        <w:t>Enanye</w:t>
      </w:r>
      <w:proofErr w:type="spellEnd"/>
      <w:r w:rsidR="00C36799">
        <w:rPr>
          <w:rFonts w:cstheme="minorHAnsi"/>
          <w:color w:val="1F3864" w:themeColor="accent1" w:themeShade="80"/>
        </w:rPr>
        <w:t>. “N</w:t>
      </w:r>
      <w:r w:rsidRPr="00DA1FB2">
        <w:rPr>
          <w:rFonts w:cstheme="minorHAnsi"/>
          <w:color w:val="1F3864" w:themeColor="accent1" w:themeShade="80"/>
        </w:rPr>
        <w:t xml:space="preserve">ow this repaired </w:t>
      </w:r>
      <w:r w:rsidR="00C36799">
        <w:rPr>
          <w:rFonts w:cstheme="minorHAnsi"/>
          <w:color w:val="1F3864" w:themeColor="accent1" w:themeShade="80"/>
        </w:rPr>
        <w:t xml:space="preserve">water point </w:t>
      </w:r>
      <w:r w:rsidRPr="00DA1FB2">
        <w:rPr>
          <w:rFonts w:cstheme="minorHAnsi"/>
          <w:color w:val="1F3864" w:themeColor="accent1" w:themeShade="80"/>
        </w:rPr>
        <w:t xml:space="preserve">has changed my daughter’s life and brought a sense of peace and happiness. She can now </w:t>
      </w:r>
      <w:r w:rsidR="00C36799">
        <w:rPr>
          <w:rFonts w:cstheme="minorHAnsi"/>
          <w:color w:val="1F3864" w:themeColor="accent1" w:themeShade="80"/>
        </w:rPr>
        <w:t xml:space="preserve">read </w:t>
      </w:r>
      <w:r w:rsidRPr="00DA1FB2">
        <w:rPr>
          <w:rFonts w:cstheme="minorHAnsi"/>
          <w:color w:val="1F3864" w:themeColor="accent1" w:themeShade="80"/>
        </w:rPr>
        <w:t>and</w:t>
      </w:r>
      <w:r w:rsidR="00C36799">
        <w:rPr>
          <w:rFonts w:cstheme="minorHAnsi"/>
          <w:color w:val="1F3864" w:themeColor="accent1" w:themeShade="80"/>
        </w:rPr>
        <w:t xml:space="preserve"> is</w:t>
      </w:r>
      <w:r w:rsidRPr="00DA1FB2">
        <w:rPr>
          <w:rFonts w:cstheme="minorHAnsi"/>
          <w:color w:val="1F3864" w:themeColor="accent1" w:themeShade="80"/>
        </w:rPr>
        <w:t xml:space="preserve"> doing her homework.</w:t>
      </w:r>
      <w:r w:rsidRPr="00DA1FB2">
        <w:rPr>
          <w:color w:val="1F3864" w:themeColor="accent1" w:themeShade="80"/>
        </w:rPr>
        <w:t xml:space="preserve"> </w:t>
      </w:r>
      <w:r w:rsidRPr="00DA1FB2">
        <w:rPr>
          <w:rFonts w:cstheme="minorHAnsi"/>
          <w:color w:val="1F3864" w:themeColor="accent1" w:themeShade="80"/>
        </w:rPr>
        <w:t xml:space="preserve">In this </w:t>
      </w:r>
      <w:r w:rsidR="00C36799">
        <w:rPr>
          <w:rFonts w:cstheme="minorHAnsi"/>
          <w:color w:val="1F3864" w:themeColor="accent1" w:themeShade="80"/>
        </w:rPr>
        <w:t>village</w:t>
      </w:r>
      <w:r w:rsidRPr="00DA1FB2">
        <w:rPr>
          <w:rFonts w:cstheme="minorHAnsi"/>
          <w:color w:val="1F3864" w:themeColor="accent1" w:themeShade="80"/>
        </w:rPr>
        <w:t xml:space="preserve">, </w:t>
      </w:r>
      <w:r w:rsidR="00DA1FB2" w:rsidRPr="00DA1FB2">
        <w:rPr>
          <w:rFonts w:cstheme="minorHAnsi"/>
          <w:color w:val="1F3864" w:themeColor="accent1" w:themeShade="80"/>
        </w:rPr>
        <w:t>the well-maintained hand pump</w:t>
      </w:r>
      <w:r w:rsidRPr="00DA1FB2">
        <w:rPr>
          <w:rFonts w:cstheme="minorHAnsi"/>
          <w:color w:val="1F3864" w:themeColor="accent1" w:themeShade="80"/>
        </w:rPr>
        <w:t xml:space="preserve"> means girls will now focus on school again." </w:t>
      </w:r>
    </w:p>
    <w:p w14:paraId="30F54030" w14:textId="5B592354" w:rsidR="00DA1FB2" w:rsidRPr="00DB6D51" w:rsidRDefault="00DA1FB2" w:rsidP="00F44762">
      <w:pPr>
        <w:jc w:val="both"/>
        <w:rPr>
          <w:rFonts w:cstheme="minorHAnsi"/>
          <w:sz w:val="24"/>
          <w:szCs w:val="24"/>
        </w:rPr>
      </w:pPr>
      <w:r w:rsidRPr="00DA1FB2">
        <w:rPr>
          <w:rFonts w:cstheme="minorHAnsi"/>
          <w:noProof/>
          <w:sz w:val="24"/>
          <w:szCs w:val="24"/>
          <w:lang w:val="en-IE" w:eastAsia="en-IE"/>
        </w:rPr>
        <w:drawing>
          <wp:inline distT="0" distB="0" distL="0" distR="0" wp14:anchorId="24D5ED7B" wp14:editId="58E4FF40">
            <wp:extent cx="5943600" cy="3788943"/>
            <wp:effectExtent l="0" t="0" r="0" b="2540"/>
            <wp:docPr id="3" name="Picture 3" descr="C:\Users\emily\Desktop\RemoteWork 2020\Case Studies\Enany's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ly\Desktop\RemoteWork 2020\Case Studies\Enany's Phot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788943"/>
                    </a:xfrm>
                    <a:prstGeom prst="rect">
                      <a:avLst/>
                    </a:prstGeom>
                    <a:noFill/>
                    <a:ln>
                      <a:noFill/>
                    </a:ln>
                  </pic:spPr>
                </pic:pic>
              </a:graphicData>
            </a:graphic>
          </wp:inline>
        </w:drawing>
      </w:r>
    </w:p>
    <w:p w14:paraId="229A15CF" w14:textId="368FD609" w:rsidR="0081447C" w:rsidRPr="00DA1FB2" w:rsidRDefault="00DA1FB2" w:rsidP="00A67965">
      <w:pPr>
        <w:spacing w:after="120" w:line="276" w:lineRule="auto"/>
        <w:jc w:val="center"/>
        <w:rPr>
          <w:rFonts w:ascii="Calibri" w:eastAsia="Calibri" w:hAnsi="Calibri" w:cs="Calibri"/>
          <w:color w:val="1F3864" w:themeColor="accent1" w:themeShade="80"/>
          <w:lang w:val="en-GB"/>
        </w:rPr>
      </w:pPr>
      <w:proofErr w:type="spellStart"/>
      <w:r w:rsidRPr="00DA1FB2">
        <w:rPr>
          <w:rFonts w:cstheme="minorHAnsi"/>
          <w:color w:val="1F3864" w:themeColor="accent1" w:themeShade="80"/>
        </w:rPr>
        <w:t>Enanye</w:t>
      </w:r>
      <w:proofErr w:type="spellEnd"/>
      <w:r w:rsidRPr="00DA1FB2">
        <w:rPr>
          <w:rFonts w:cstheme="minorHAnsi"/>
          <w:color w:val="1F3864" w:themeColor="accent1" w:themeShade="80"/>
        </w:rPr>
        <w:t xml:space="preserve"> fetching clean water</w:t>
      </w:r>
      <w:r w:rsidR="00A67965">
        <w:rPr>
          <w:rFonts w:cstheme="minorHAnsi"/>
          <w:color w:val="1F3864" w:themeColor="accent1" w:themeShade="80"/>
        </w:rPr>
        <w:t xml:space="preserve"> near her home</w:t>
      </w:r>
    </w:p>
    <w:p w14:paraId="1135781B" w14:textId="23D4CED5" w:rsidR="0081447C" w:rsidRPr="00735EC1" w:rsidRDefault="0081447C" w:rsidP="6095A422">
      <w:pPr>
        <w:spacing w:after="120" w:line="276" w:lineRule="auto"/>
        <w:jc w:val="both"/>
        <w:rPr>
          <w:rFonts w:ascii="Calibri" w:eastAsia="Calibri" w:hAnsi="Calibri" w:cs="Calibri"/>
          <w:color w:val="1F3864" w:themeColor="accent1" w:themeShade="80"/>
          <w:sz w:val="24"/>
          <w:szCs w:val="24"/>
          <w:lang w:val="en-GB"/>
        </w:rPr>
      </w:pPr>
    </w:p>
    <w:p w14:paraId="16F20E76" w14:textId="7EA2021B" w:rsidR="004B188D" w:rsidRPr="00735EC1" w:rsidRDefault="6095A422" w:rsidP="6095A422">
      <w:pPr>
        <w:spacing w:after="120" w:line="276" w:lineRule="auto"/>
        <w:jc w:val="both"/>
        <w:rPr>
          <w:rFonts w:ascii="Calibri" w:eastAsia="Calibri" w:hAnsi="Calibri" w:cs="Calibri"/>
          <w:color w:val="1F3864" w:themeColor="accent1" w:themeShade="80"/>
          <w:sz w:val="24"/>
          <w:szCs w:val="24"/>
        </w:rPr>
      </w:pPr>
      <w:r w:rsidRPr="00735EC1">
        <w:rPr>
          <w:rFonts w:ascii="Calibri" w:eastAsia="Calibri" w:hAnsi="Calibri" w:cs="Calibri"/>
          <w:b/>
          <w:bCs/>
          <w:color w:val="1F3864" w:themeColor="accent1" w:themeShade="80"/>
          <w:sz w:val="24"/>
          <w:szCs w:val="24"/>
          <w:lang w:val="en-GB"/>
        </w:rPr>
        <w:t>Financial Utilisation</w:t>
      </w:r>
    </w:p>
    <w:p w14:paraId="23BC48B1" w14:textId="3FB36134" w:rsidR="004B188D" w:rsidRPr="00735EC1" w:rsidRDefault="6095A422" w:rsidP="6095A422">
      <w:pPr>
        <w:spacing w:after="120" w:line="276" w:lineRule="auto"/>
        <w:jc w:val="both"/>
        <w:rPr>
          <w:rFonts w:ascii="Calibri" w:eastAsia="Calibri" w:hAnsi="Calibri" w:cs="Calibri"/>
          <w:color w:val="1F3864" w:themeColor="accent1" w:themeShade="80"/>
        </w:rPr>
      </w:pPr>
      <w:r w:rsidRPr="00735EC1">
        <w:rPr>
          <w:rFonts w:ascii="Calibri" w:eastAsia="Calibri" w:hAnsi="Calibri" w:cs="Calibri"/>
          <w:color w:val="1F3864" w:themeColor="accent1" w:themeShade="80"/>
        </w:rPr>
        <w:t>Project total cost was €</w:t>
      </w:r>
      <w:r w:rsidR="006012CB" w:rsidRPr="00735EC1">
        <w:rPr>
          <w:rFonts w:ascii="Calibri" w:eastAsia="Calibri" w:hAnsi="Calibri" w:cs="Calibri"/>
          <w:color w:val="1F3864" w:themeColor="accent1" w:themeShade="80"/>
        </w:rPr>
        <w:t>7</w:t>
      </w:r>
      <w:r w:rsidR="00C36799">
        <w:rPr>
          <w:rFonts w:ascii="Calibri" w:eastAsia="Calibri" w:hAnsi="Calibri" w:cs="Calibri"/>
          <w:color w:val="1F3864" w:themeColor="accent1" w:themeShade="80"/>
        </w:rPr>
        <w:t>,</w:t>
      </w:r>
      <w:r w:rsidR="006012CB" w:rsidRPr="00735EC1">
        <w:rPr>
          <w:rFonts w:ascii="Calibri" w:eastAsia="Calibri" w:hAnsi="Calibri" w:cs="Calibri"/>
          <w:color w:val="1F3864" w:themeColor="accent1" w:themeShade="80"/>
        </w:rPr>
        <w:t>454</w:t>
      </w:r>
      <w:r w:rsidRPr="00735EC1">
        <w:rPr>
          <w:rFonts w:ascii="Calibri" w:eastAsia="Calibri" w:hAnsi="Calibri" w:cs="Calibri"/>
          <w:color w:val="1F3864" w:themeColor="accent1" w:themeShade="80"/>
        </w:rPr>
        <w:t xml:space="preserve">, of which SHARP </w:t>
      </w:r>
      <w:r w:rsidR="006012CB" w:rsidRPr="00735EC1">
        <w:rPr>
          <w:rFonts w:ascii="Calibri" w:eastAsia="Calibri" w:hAnsi="Calibri" w:cs="Calibri"/>
          <w:color w:val="1F3864" w:themeColor="accent1" w:themeShade="80"/>
        </w:rPr>
        <w:t>generously funded</w:t>
      </w:r>
      <w:r w:rsidRPr="00735EC1">
        <w:rPr>
          <w:rFonts w:ascii="Calibri" w:eastAsia="Calibri" w:hAnsi="Calibri" w:cs="Calibri"/>
          <w:color w:val="1F3864" w:themeColor="accent1" w:themeShade="80"/>
        </w:rPr>
        <w:t xml:space="preserve"> €7,021. </w:t>
      </w:r>
      <w:r w:rsidRPr="00735EC1">
        <w:rPr>
          <w:rFonts w:ascii="Calibri" w:eastAsia="Calibri" w:hAnsi="Calibri" w:cs="Calibri"/>
          <w:color w:val="1F3864" w:themeColor="accent1" w:themeShade="80"/>
          <w:lang w:val="en-IE"/>
        </w:rPr>
        <w:t>Vita covered the</w:t>
      </w:r>
      <w:r w:rsidR="006012CB" w:rsidRPr="00735EC1">
        <w:rPr>
          <w:rFonts w:ascii="Calibri" w:eastAsia="Calibri" w:hAnsi="Calibri" w:cs="Calibri"/>
          <w:color w:val="1F3864" w:themeColor="accent1" w:themeShade="80"/>
          <w:lang w:val="en-IE"/>
        </w:rPr>
        <w:t xml:space="preserve"> balance, which was €433.</w:t>
      </w:r>
    </w:p>
    <w:p w14:paraId="221B9674" w14:textId="20DF17AD" w:rsidR="004B188D" w:rsidRPr="00735EC1" w:rsidRDefault="6095A422" w:rsidP="6095A422">
      <w:pPr>
        <w:spacing w:after="120" w:line="276" w:lineRule="auto"/>
        <w:jc w:val="both"/>
        <w:rPr>
          <w:rFonts w:ascii="Calibri" w:eastAsia="Calibri" w:hAnsi="Calibri" w:cs="Calibri"/>
          <w:color w:val="1F3864" w:themeColor="accent1" w:themeShade="80"/>
          <w:sz w:val="24"/>
          <w:szCs w:val="24"/>
        </w:rPr>
      </w:pPr>
      <w:r w:rsidRPr="00735EC1">
        <w:rPr>
          <w:rFonts w:ascii="Calibri" w:eastAsia="Calibri" w:hAnsi="Calibri" w:cs="Calibri"/>
          <w:b/>
          <w:bCs/>
          <w:color w:val="1F3864" w:themeColor="accent1" w:themeShade="80"/>
          <w:sz w:val="24"/>
          <w:szCs w:val="24"/>
        </w:rPr>
        <w:t>Expenditure by categories</w:t>
      </w:r>
    </w:p>
    <w:p w14:paraId="21383C42" w14:textId="1A1DF2EB" w:rsidR="006012CB" w:rsidRPr="00735EC1" w:rsidRDefault="006012CB" w:rsidP="6095A422">
      <w:pPr>
        <w:spacing w:after="120" w:line="276" w:lineRule="auto"/>
        <w:jc w:val="both"/>
        <w:rPr>
          <w:rFonts w:ascii="Calibri" w:eastAsia="Calibri" w:hAnsi="Calibri" w:cs="Calibri"/>
          <w:color w:val="1F3864" w:themeColor="accent1" w:themeShade="80"/>
          <w:sz w:val="18"/>
          <w:szCs w:val="18"/>
        </w:rPr>
      </w:pPr>
      <w:r w:rsidRPr="00735EC1">
        <w:rPr>
          <w:rFonts w:ascii="Calibri" w:eastAsia="Calibri" w:hAnsi="Calibri" w:cs="Calibri"/>
          <w:noProof/>
          <w:color w:val="1F3864" w:themeColor="accent1" w:themeShade="80"/>
          <w:sz w:val="18"/>
          <w:szCs w:val="18"/>
          <w:lang w:val="en-IE" w:eastAsia="en-IE"/>
        </w:rPr>
        <w:lastRenderedPageBreak/>
        <w:drawing>
          <wp:inline distT="0" distB="0" distL="0" distR="0" wp14:anchorId="53404EF3" wp14:editId="23498358">
            <wp:extent cx="5943600" cy="4687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687910"/>
                    </a:xfrm>
                    <a:prstGeom prst="rect">
                      <a:avLst/>
                    </a:prstGeom>
                    <a:noFill/>
                    <a:ln>
                      <a:noFill/>
                    </a:ln>
                  </pic:spPr>
                </pic:pic>
              </a:graphicData>
            </a:graphic>
          </wp:inline>
        </w:drawing>
      </w:r>
    </w:p>
    <w:p w14:paraId="1EA46850" w14:textId="10F4FA6F" w:rsidR="004B188D" w:rsidRPr="00735EC1" w:rsidRDefault="006012CB" w:rsidP="6095A422">
      <w:pPr>
        <w:spacing w:after="120" w:line="276" w:lineRule="auto"/>
        <w:jc w:val="both"/>
        <w:rPr>
          <w:rFonts w:ascii="Calibri" w:eastAsia="Calibri" w:hAnsi="Calibri" w:cs="Calibri"/>
          <w:color w:val="1F3864" w:themeColor="accent1" w:themeShade="80"/>
          <w:sz w:val="18"/>
          <w:szCs w:val="18"/>
        </w:rPr>
      </w:pPr>
      <w:r w:rsidRPr="00735EC1">
        <w:rPr>
          <w:rFonts w:ascii="Calibri" w:eastAsia="Calibri" w:hAnsi="Calibri" w:cs="Calibri"/>
          <w:color w:val="1F3864" w:themeColor="accent1" w:themeShade="80"/>
          <w:sz w:val="18"/>
          <w:szCs w:val="18"/>
        </w:rPr>
        <w:t xml:space="preserve"> Exchange rate €1= 45</w:t>
      </w:r>
      <w:r w:rsidR="6095A422" w:rsidRPr="00735EC1">
        <w:rPr>
          <w:rFonts w:ascii="Calibri" w:eastAsia="Calibri" w:hAnsi="Calibri" w:cs="Calibri"/>
          <w:color w:val="1F3864" w:themeColor="accent1" w:themeShade="80"/>
          <w:sz w:val="18"/>
          <w:szCs w:val="18"/>
        </w:rPr>
        <w:t xml:space="preserve"> ETB</w:t>
      </w:r>
    </w:p>
    <w:p w14:paraId="2C078E63" w14:textId="50BFD3C6" w:rsidR="004B188D" w:rsidRPr="00735EC1" w:rsidRDefault="00C36799" w:rsidP="6095A422">
      <w:pPr>
        <w:rPr>
          <w:rFonts w:ascii="Calibri" w:eastAsia="Calibri" w:hAnsi="Calibri" w:cs="Calibri"/>
          <w:color w:val="1F3864" w:themeColor="accent1" w:themeShade="80"/>
          <w:sz w:val="24"/>
          <w:szCs w:val="24"/>
        </w:rPr>
      </w:pPr>
      <w:r>
        <w:rPr>
          <w:rFonts w:ascii="Calibri" w:eastAsia="Calibri" w:hAnsi="Calibri" w:cs="Calibri"/>
          <w:color w:val="1F3864" w:themeColor="accent1" w:themeShade="80"/>
          <w:sz w:val="24"/>
          <w:szCs w:val="24"/>
        </w:rPr>
        <w:t>Ends</w:t>
      </w:r>
    </w:p>
    <w:sectPr w:rsidR="004B188D" w:rsidRPr="00735E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7DE35" w14:textId="77777777" w:rsidR="002C7C7F" w:rsidRDefault="002C7C7F" w:rsidP="006F52A7">
      <w:pPr>
        <w:spacing w:after="0" w:line="240" w:lineRule="auto"/>
      </w:pPr>
      <w:r>
        <w:separator/>
      </w:r>
    </w:p>
  </w:endnote>
  <w:endnote w:type="continuationSeparator" w:id="0">
    <w:p w14:paraId="45252CD8" w14:textId="77777777" w:rsidR="002C7C7F" w:rsidRDefault="002C7C7F" w:rsidP="006F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2CD81" w14:textId="77777777" w:rsidR="002C7C7F" w:rsidRDefault="002C7C7F" w:rsidP="006F52A7">
      <w:pPr>
        <w:spacing w:after="0" w:line="240" w:lineRule="auto"/>
      </w:pPr>
      <w:r>
        <w:separator/>
      </w:r>
    </w:p>
  </w:footnote>
  <w:footnote w:type="continuationSeparator" w:id="0">
    <w:p w14:paraId="708B4FC8" w14:textId="77777777" w:rsidR="002C7C7F" w:rsidRDefault="002C7C7F" w:rsidP="006F52A7">
      <w:pPr>
        <w:spacing w:after="0" w:line="240" w:lineRule="auto"/>
      </w:pPr>
      <w:r>
        <w:continuationSeparator/>
      </w:r>
    </w:p>
  </w:footnote>
  <w:footnote w:id="1">
    <w:p w14:paraId="0903F745" w14:textId="77777777" w:rsidR="00A60900" w:rsidRPr="00360A21" w:rsidRDefault="00A60900" w:rsidP="00A60900">
      <w:pPr>
        <w:pStyle w:val="FootnoteText"/>
        <w:rPr>
          <w:lang w:val="en-IE"/>
        </w:rPr>
      </w:pPr>
      <w:r>
        <w:rPr>
          <w:rStyle w:val="FootnoteReference"/>
        </w:rPr>
        <w:footnoteRef/>
      </w:r>
      <w:r>
        <w:t xml:space="preserve"> </w:t>
      </w:r>
      <w:r w:rsidRPr="00BC4669">
        <w:rPr>
          <w:sz w:val="16"/>
          <w:szCs w:val="16"/>
        </w:rPr>
        <w:t>Vita PGII External Evaluation, December 2021</w:t>
      </w:r>
    </w:p>
  </w:footnote>
  <w:footnote w:id="2">
    <w:p w14:paraId="7831C2D7" w14:textId="77777777" w:rsidR="00A60900" w:rsidRPr="00360A21" w:rsidRDefault="00A60900" w:rsidP="00A60900">
      <w:pPr>
        <w:pStyle w:val="FootnoteText"/>
        <w:rPr>
          <w:lang w:val="en-IE"/>
        </w:rPr>
      </w:pPr>
      <w:r>
        <w:rPr>
          <w:rStyle w:val="FootnoteReference"/>
        </w:rPr>
        <w:footnoteRef/>
      </w:r>
      <w:r>
        <w:t xml:space="preserve"> </w:t>
      </w:r>
      <w:r w:rsidRPr="00BC4669">
        <w:rPr>
          <w:sz w:val="16"/>
          <w:szCs w:val="16"/>
        </w:rPr>
        <w:t>Vita PGII External Evaluation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2A82"/>
    <w:multiLevelType w:val="hybridMultilevel"/>
    <w:tmpl w:val="F97E16B2"/>
    <w:lvl w:ilvl="0" w:tplc="63F64F70">
      <w:start w:val="1"/>
      <w:numFmt w:val="bullet"/>
      <w:lvlText w:val=""/>
      <w:lvlJc w:val="left"/>
      <w:pPr>
        <w:ind w:left="720" w:hanging="360"/>
      </w:pPr>
      <w:rPr>
        <w:rFonts w:ascii="Symbol" w:hAnsi="Symbol" w:hint="default"/>
      </w:rPr>
    </w:lvl>
    <w:lvl w:ilvl="1" w:tplc="FB929232">
      <w:start w:val="1"/>
      <w:numFmt w:val="bullet"/>
      <w:lvlText w:val="o"/>
      <w:lvlJc w:val="left"/>
      <w:pPr>
        <w:ind w:left="1440" w:hanging="360"/>
      </w:pPr>
      <w:rPr>
        <w:rFonts w:ascii="Courier New" w:hAnsi="Courier New" w:hint="default"/>
      </w:rPr>
    </w:lvl>
    <w:lvl w:ilvl="2" w:tplc="FFA28F6A">
      <w:start w:val="1"/>
      <w:numFmt w:val="bullet"/>
      <w:lvlText w:val=""/>
      <w:lvlJc w:val="left"/>
      <w:pPr>
        <w:ind w:left="2160" w:hanging="360"/>
      </w:pPr>
      <w:rPr>
        <w:rFonts w:ascii="Wingdings" w:hAnsi="Wingdings" w:hint="default"/>
      </w:rPr>
    </w:lvl>
    <w:lvl w:ilvl="3" w:tplc="4182AE46">
      <w:start w:val="1"/>
      <w:numFmt w:val="bullet"/>
      <w:lvlText w:val=""/>
      <w:lvlJc w:val="left"/>
      <w:pPr>
        <w:ind w:left="2880" w:hanging="360"/>
      </w:pPr>
      <w:rPr>
        <w:rFonts w:ascii="Symbol" w:hAnsi="Symbol" w:hint="default"/>
      </w:rPr>
    </w:lvl>
    <w:lvl w:ilvl="4" w:tplc="4E3EFECE">
      <w:start w:val="1"/>
      <w:numFmt w:val="bullet"/>
      <w:lvlText w:val="o"/>
      <w:lvlJc w:val="left"/>
      <w:pPr>
        <w:ind w:left="3600" w:hanging="360"/>
      </w:pPr>
      <w:rPr>
        <w:rFonts w:ascii="Courier New" w:hAnsi="Courier New" w:hint="default"/>
      </w:rPr>
    </w:lvl>
    <w:lvl w:ilvl="5" w:tplc="B36A5596">
      <w:start w:val="1"/>
      <w:numFmt w:val="bullet"/>
      <w:lvlText w:val=""/>
      <w:lvlJc w:val="left"/>
      <w:pPr>
        <w:ind w:left="4320" w:hanging="360"/>
      </w:pPr>
      <w:rPr>
        <w:rFonts w:ascii="Wingdings" w:hAnsi="Wingdings" w:hint="default"/>
      </w:rPr>
    </w:lvl>
    <w:lvl w:ilvl="6" w:tplc="B8180E02">
      <w:start w:val="1"/>
      <w:numFmt w:val="bullet"/>
      <w:lvlText w:val=""/>
      <w:lvlJc w:val="left"/>
      <w:pPr>
        <w:ind w:left="5040" w:hanging="360"/>
      </w:pPr>
      <w:rPr>
        <w:rFonts w:ascii="Symbol" w:hAnsi="Symbol" w:hint="default"/>
      </w:rPr>
    </w:lvl>
    <w:lvl w:ilvl="7" w:tplc="CF6ACD28">
      <w:start w:val="1"/>
      <w:numFmt w:val="bullet"/>
      <w:lvlText w:val="o"/>
      <w:lvlJc w:val="left"/>
      <w:pPr>
        <w:ind w:left="5760" w:hanging="360"/>
      </w:pPr>
      <w:rPr>
        <w:rFonts w:ascii="Courier New" w:hAnsi="Courier New" w:hint="default"/>
      </w:rPr>
    </w:lvl>
    <w:lvl w:ilvl="8" w:tplc="FDBE002E">
      <w:start w:val="1"/>
      <w:numFmt w:val="bullet"/>
      <w:lvlText w:val=""/>
      <w:lvlJc w:val="left"/>
      <w:pPr>
        <w:ind w:left="6480" w:hanging="360"/>
      </w:pPr>
      <w:rPr>
        <w:rFonts w:ascii="Wingdings" w:hAnsi="Wingdings" w:hint="default"/>
      </w:rPr>
    </w:lvl>
  </w:abstractNum>
  <w:abstractNum w:abstractNumId="1" w15:restartNumberingAfterBreak="0">
    <w:nsid w:val="22293C61"/>
    <w:multiLevelType w:val="hybridMultilevel"/>
    <w:tmpl w:val="3500C34C"/>
    <w:lvl w:ilvl="0" w:tplc="C0C00CC8">
      <w:start w:val="1"/>
      <w:numFmt w:val="lowerRoman"/>
      <w:lvlText w:val="%1."/>
      <w:lvlJc w:val="right"/>
      <w:pPr>
        <w:ind w:left="720" w:hanging="360"/>
      </w:pPr>
    </w:lvl>
    <w:lvl w:ilvl="1" w:tplc="D5301392">
      <w:start w:val="1"/>
      <w:numFmt w:val="lowerLetter"/>
      <w:lvlText w:val="%2."/>
      <w:lvlJc w:val="left"/>
      <w:pPr>
        <w:ind w:left="1440" w:hanging="360"/>
      </w:pPr>
    </w:lvl>
    <w:lvl w:ilvl="2" w:tplc="072A255A">
      <w:start w:val="1"/>
      <w:numFmt w:val="lowerRoman"/>
      <w:lvlText w:val="%3."/>
      <w:lvlJc w:val="right"/>
      <w:pPr>
        <w:ind w:left="2160" w:hanging="180"/>
      </w:pPr>
    </w:lvl>
    <w:lvl w:ilvl="3" w:tplc="72824250">
      <w:start w:val="1"/>
      <w:numFmt w:val="decimal"/>
      <w:lvlText w:val="%4."/>
      <w:lvlJc w:val="left"/>
      <w:pPr>
        <w:ind w:left="2880" w:hanging="360"/>
      </w:pPr>
    </w:lvl>
    <w:lvl w:ilvl="4" w:tplc="59E4F09E">
      <w:start w:val="1"/>
      <w:numFmt w:val="lowerLetter"/>
      <w:lvlText w:val="%5."/>
      <w:lvlJc w:val="left"/>
      <w:pPr>
        <w:ind w:left="3600" w:hanging="360"/>
      </w:pPr>
    </w:lvl>
    <w:lvl w:ilvl="5" w:tplc="5DDE87E0">
      <w:start w:val="1"/>
      <w:numFmt w:val="lowerRoman"/>
      <w:lvlText w:val="%6."/>
      <w:lvlJc w:val="right"/>
      <w:pPr>
        <w:ind w:left="4320" w:hanging="180"/>
      </w:pPr>
    </w:lvl>
    <w:lvl w:ilvl="6" w:tplc="256CEEB6">
      <w:start w:val="1"/>
      <w:numFmt w:val="decimal"/>
      <w:lvlText w:val="%7."/>
      <w:lvlJc w:val="left"/>
      <w:pPr>
        <w:ind w:left="5040" w:hanging="360"/>
      </w:pPr>
    </w:lvl>
    <w:lvl w:ilvl="7" w:tplc="428EAD66">
      <w:start w:val="1"/>
      <w:numFmt w:val="lowerLetter"/>
      <w:lvlText w:val="%8."/>
      <w:lvlJc w:val="left"/>
      <w:pPr>
        <w:ind w:left="5760" w:hanging="360"/>
      </w:pPr>
    </w:lvl>
    <w:lvl w:ilvl="8" w:tplc="D474F08A">
      <w:start w:val="1"/>
      <w:numFmt w:val="lowerRoman"/>
      <w:lvlText w:val="%9."/>
      <w:lvlJc w:val="right"/>
      <w:pPr>
        <w:ind w:left="6480" w:hanging="180"/>
      </w:pPr>
    </w:lvl>
  </w:abstractNum>
  <w:abstractNum w:abstractNumId="2" w15:restartNumberingAfterBreak="0">
    <w:nsid w:val="7116313E"/>
    <w:multiLevelType w:val="hybridMultilevel"/>
    <w:tmpl w:val="C0F2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569295">
    <w:abstractNumId w:val="0"/>
  </w:num>
  <w:num w:numId="2" w16cid:durableId="2098750722">
    <w:abstractNumId w:val="1"/>
  </w:num>
  <w:num w:numId="3" w16cid:durableId="1107624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515164"/>
    <w:rsid w:val="00031A66"/>
    <w:rsid w:val="000E2EA3"/>
    <w:rsid w:val="000F3375"/>
    <w:rsid w:val="00237884"/>
    <w:rsid w:val="002C7C7F"/>
    <w:rsid w:val="002D52A3"/>
    <w:rsid w:val="00360A21"/>
    <w:rsid w:val="00400819"/>
    <w:rsid w:val="004B056D"/>
    <w:rsid w:val="004B188D"/>
    <w:rsid w:val="006012CB"/>
    <w:rsid w:val="006F52A7"/>
    <w:rsid w:val="00735EC1"/>
    <w:rsid w:val="007A0FB1"/>
    <w:rsid w:val="0081447C"/>
    <w:rsid w:val="00866878"/>
    <w:rsid w:val="008E25D2"/>
    <w:rsid w:val="009576C2"/>
    <w:rsid w:val="00981DB2"/>
    <w:rsid w:val="00A46DD0"/>
    <w:rsid w:val="00A60900"/>
    <w:rsid w:val="00A67965"/>
    <w:rsid w:val="00C36799"/>
    <w:rsid w:val="00C668FF"/>
    <w:rsid w:val="00D57223"/>
    <w:rsid w:val="00D92C69"/>
    <w:rsid w:val="00DA1FB2"/>
    <w:rsid w:val="00DB2116"/>
    <w:rsid w:val="00F44762"/>
    <w:rsid w:val="08EE4FED"/>
    <w:rsid w:val="0A8A204E"/>
    <w:rsid w:val="0AA348AB"/>
    <w:rsid w:val="0B4B5619"/>
    <w:rsid w:val="0F76B9CE"/>
    <w:rsid w:val="1371615B"/>
    <w:rsid w:val="1912558A"/>
    <w:rsid w:val="1BAD2F68"/>
    <w:rsid w:val="1C3C1479"/>
    <w:rsid w:val="26F90822"/>
    <w:rsid w:val="276D8C49"/>
    <w:rsid w:val="288BB270"/>
    <w:rsid w:val="2894D883"/>
    <w:rsid w:val="324BF981"/>
    <w:rsid w:val="32B03EF0"/>
    <w:rsid w:val="3453FCD7"/>
    <w:rsid w:val="36E196F2"/>
    <w:rsid w:val="3783B013"/>
    <w:rsid w:val="3ACE5CAC"/>
    <w:rsid w:val="446A20A1"/>
    <w:rsid w:val="453CCDB1"/>
    <w:rsid w:val="4605F102"/>
    <w:rsid w:val="46D89E12"/>
    <w:rsid w:val="4EFCD854"/>
    <w:rsid w:val="52233E3F"/>
    <w:rsid w:val="588A923D"/>
    <w:rsid w:val="5AE43F65"/>
    <w:rsid w:val="5B1A2591"/>
    <w:rsid w:val="5C800FC6"/>
    <w:rsid w:val="6095A422"/>
    <w:rsid w:val="615380E9"/>
    <w:rsid w:val="626401AB"/>
    <w:rsid w:val="67E76DC2"/>
    <w:rsid w:val="6A577FC5"/>
    <w:rsid w:val="6BE0444F"/>
    <w:rsid w:val="6CBADEE5"/>
    <w:rsid w:val="6E3F1B7B"/>
    <w:rsid w:val="70B3B572"/>
    <w:rsid w:val="71944455"/>
    <w:rsid w:val="7C515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15164"/>
  <w15:chartTrackingRefBased/>
  <w15:docId w15:val="{68E165CD-3029-4685-9147-7ADB66F0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6095A422"/>
  </w:style>
  <w:style w:type="character" w:customStyle="1" w:styleId="eop">
    <w:name w:val="eop"/>
    <w:basedOn w:val="DefaultParagraphFont"/>
    <w:uiPriority w:val="1"/>
    <w:rsid w:val="6095A422"/>
  </w:style>
  <w:style w:type="paragraph" w:customStyle="1" w:styleId="paragraph">
    <w:name w:val="paragraph"/>
    <w:basedOn w:val="Normal"/>
    <w:uiPriority w:val="1"/>
    <w:rsid w:val="6095A422"/>
    <w:pPr>
      <w:spacing w:beforeAutospacing="1" w:afterAutospacing="1"/>
    </w:pPr>
    <w:rPr>
      <w:rFonts w:ascii="Times New Roman" w:eastAsia="Times New Roman" w:hAnsi="Times New Roman" w:cs="Times New Roman"/>
      <w:sz w:val="24"/>
      <w:szCs w:val="24"/>
      <w:lang w:val="en-IE" w:eastAsia="en-I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sid w:val="00360A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0A21"/>
    <w:rPr>
      <w:sz w:val="20"/>
      <w:szCs w:val="20"/>
    </w:rPr>
  </w:style>
  <w:style w:type="character" w:styleId="FootnoteReference">
    <w:name w:val="footnote reference"/>
    <w:basedOn w:val="DefaultParagraphFont"/>
    <w:uiPriority w:val="99"/>
    <w:semiHidden/>
    <w:unhideWhenUsed/>
    <w:rsid w:val="00360A21"/>
    <w:rPr>
      <w:vertAlign w:val="superscript"/>
    </w:rPr>
  </w:style>
  <w:style w:type="paragraph" w:styleId="Footer">
    <w:name w:val="footer"/>
    <w:basedOn w:val="Normal"/>
    <w:link w:val="FooterChar"/>
    <w:uiPriority w:val="99"/>
    <w:unhideWhenUsed/>
    <w:rsid w:val="00981DB2"/>
    <w:pPr>
      <w:tabs>
        <w:tab w:val="center" w:pos="4680"/>
        <w:tab w:val="right" w:pos="9360"/>
      </w:tabs>
      <w:spacing w:after="0" w:line="240" w:lineRule="auto"/>
    </w:pPr>
    <w:rPr>
      <w:rFonts w:ascii="Times New Roman" w:eastAsia="Times New Roman" w:hAnsi="Times New Roman" w:cs="Times New Roman"/>
      <w:sz w:val="24"/>
      <w:szCs w:val="24"/>
      <w:lang w:val="en-CA"/>
    </w:rPr>
  </w:style>
  <w:style w:type="character" w:customStyle="1" w:styleId="FooterChar">
    <w:name w:val="Footer Char"/>
    <w:basedOn w:val="DefaultParagraphFont"/>
    <w:link w:val="Footer"/>
    <w:uiPriority w:val="99"/>
    <w:rsid w:val="00981DB2"/>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2AAAA30833624A97550C6053C6C92F" ma:contentTypeVersion="13" ma:contentTypeDescription="Create a new document." ma:contentTypeScope="" ma:versionID="0084cb4dbd86b5ef2a472c4266f2991b">
  <xsd:schema xmlns:xsd="http://www.w3.org/2001/XMLSchema" xmlns:xs="http://www.w3.org/2001/XMLSchema" xmlns:p="http://schemas.microsoft.com/office/2006/metadata/properties" xmlns:ns2="7655375b-1e69-4815-95fe-6fd366849997" xmlns:ns3="5aa645da-c7a3-483f-bd2b-4c7420f86167" targetNamespace="http://schemas.microsoft.com/office/2006/metadata/properties" ma:root="true" ma:fieldsID="d3f2ef86a14a6f656409ede2f7774849" ns2:_="" ns3:_="">
    <xsd:import namespace="7655375b-1e69-4815-95fe-6fd366849997"/>
    <xsd:import namespace="5aa645da-c7a3-483f-bd2b-4c7420f86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375b-1e69-4815-95fe-6fd366849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a645da-c7a3-483f-bd2b-4c7420f861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373CF-D209-4EAD-9055-2F57363B0F4B}">
  <ds:schemaRefs>
    <ds:schemaRef ds:uri="http://schemas.openxmlformats.org/officeDocument/2006/bibliography"/>
  </ds:schemaRefs>
</ds:datastoreItem>
</file>

<file path=customXml/itemProps2.xml><?xml version="1.0" encoding="utf-8"?>
<ds:datastoreItem xmlns:ds="http://schemas.openxmlformats.org/officeDocument/2006/customXml" ds:itemID="{2D353F9E-31F8-4E60-ABCA-BEC082FA8B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185B4A-E2F9-4F7C-B739-D77B05AC3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375b-1e69-4815-95fe-6fd366849997"/>
    <ds:schemaRef ds:uri="5aa645da-c7a3-483f-bd2b-4c7420f86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C00A6-C6C2-4144-B8B0-072538AF0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Hosford</dc:creator>
  <cp:keywords/>
  <dc:description/>
  <cp:lastModifiedBy>bill collins</cp:lastModifiedBy>
  <cp:revision>2</cp:revision>
  <dcterms:created xsi:type="dcterms:W3CDTF">2022-04-08T14:20:00Z</dcterms:created>
  <dcterms:modified xsi:type="dcterms:W3CDTF">2022-04-08T14:20:00Z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0x010100CE2AAAA30833624A97550C6053C6C92F</vt:lpwstr>
  </property>
</Properties>
</file>